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0"/>
          <w:szCs w:val="30"/>
          <w:lang w:val="en-US" w:eastAsia="zh-CN"/>
        </w:rPr>
      </w:pPr>
      <w:r>
        <w:rPr>
          <w:rFonts w:hint="eastAsia" w:asciiTheme="majorEastAsia" w:hAnsiTheme="majorEastAsia" w:eastAsiaTheme="majorEastAsia" w:cstheme="majorEastAsia"/>
          <w:sz w:val="30"/>
          <w:szCs w:val="30"/>
          <w:lang w:val="en-US" w:eastAsia="zh-CN"/>
        </w:rPr>
        <w:t xml:space="preserve">附件一：  工业洗衣机采购需求  </w:t>
      </w:r>
      <w:r>
        <w:rPr>
          <w:rFonts w:hint="eastAsia" w:ascii="仿宋" w:hAnsi="仿宋" w:eastAsia="仿宋" w:cs="仿宋"/>
          <w:sz w:val="30"/>
          <w:szCs w:val="30"/>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额定容量：额定洗涤容量≥100公斤（按干衣重量计算），实际装载量不低于额定容量的95%。</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结构材质：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内筒材质：采用304或者316不锈钢，厚度≥3mm，耐腐蚀、抗磨损，表面光滑无毛刺。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sz w:val="24"/>
          <w:szCs w:val="24"/>
          <w:lang w:val="en-US" w:eastAsia="zh-CN"/>
        </w:rPr>
        <w:t>外筒及机架：外筒采用304不锈钢，机架采用优质碳钢焊接并经除锈、电泳+喷塑处理，防锈等级≥</w:t>
      </w:r>
      <w:r>
        <w:rPr>
          <w:rFonts w:hint="eastAsia" w:ascii="仿宋" w:hAnsi="仿宋" w:eastAsia="仿宋" w:cs="仿宋"/>
          <w:color w:val="1F2329"/>
          <w:kern w:val="2"/>
          <w:sz w:val="24"/>
          <w:szCs w:val="24"/>
          <w:lang w:val="en-US" w:eastAsia="zh-CN" w:bidi="ar-SA"/>
        </w:rPr>
        <w:t>GB/T 10125-2021 标准中的 5 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门体：不锈钢材质，配备双重安全锁（电子锁+机械锁）。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洗涤性能：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转速：洗涤转速≥40r/min，脱水转速≥800r/min，脱水率≥75%。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程序设置：预设至少 15 种洗涤程序（如棉麻、化纤、羊毛、强力去污、节能洗涤等），支持自定义程序存储（≥20 组），可调节水温（常温 - 95℃）、洗涤时间（5-120 分钟）、漂洗次数（1-5 次）、脱水时间；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洗净度：符合 GB/T 26114-2010《工业洗衣机》标准，洗净比≥1.05，能有效去除油污、粉尘等工业污渍。</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加热方式与能耗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加热类型：采用蒸汽加热模式。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额定蒸汽压力：0.4-0.8MPa（可调），适配我方蒸汽供应系统。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蒸汽接口：DN25 法兰或螺纹接口，配备蒸汽过滤器、止回阀及压力调节阀，防止蒸汽回流和杂质进入；</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能耗指标：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蒸汽消耗量：100 公斤满载 60℃洗涤程序，单次蒸汽耗量≤80kg（按 0.6MPa 饱和蒸汽计算）；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水耗：每公斤干衣洗涤耗水量≤15L，100 公斤满载单次耗水量≤1500L；</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能效等级：符合 GB 19153-2019 相关要求，综合能效等级≥2 级。</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控制与操作：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配备 7 英寸及以上彩色触摸屏，操作界面简洁易懂，支持中文显示，可实时显示洗涤状态、剩余时间、故障代码、蒸汽压力、水温等参数；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具备自动称重功能，根据衣物重量自动调节水量、蒸汽供应量，避免浪费；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支持清洗数据打印功能和清洗数据导出功能，查看设备运行数据、故障报警、保养提醒及蒸汽 / 水耗统计。</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安全保护：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全保护：具备过载保护、过流保护、过热保护、缺水保护、排水故障保护、门未关紧保护等多重安全机制；新增蒸汽压力过高保护（超压自动泄压，泄压压力≤0.9MPa）、换热器防干烧保护，故障发生时自动停机并报警；具备禁止停止功能及对应操作装置（急停按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漏电保护：设备接地电阻≤4Ω，漏电保护装置动作电流≤30mA，动作时间≤0.1s，符合 GB 12021.4-2013 安全标准；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振动与降噪：配备减震器和平衡装置，运行时整机振动加速度≤0.5g，脱水时噪音≤75dB (A），洗涤时噪音≤65dB (A）（按 GB/T 4214.1-2017 测试）；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环保与蒸汽安全：蒸汽管道及接口密封良好，无泄漏，蒸汽管道外层需包裹保温层（保温材料阻燃等级≥B1 级），表面温度≤60℃，防止烫伤；洗涤剂投放系统密封良好，无泄漏，废水排放符合 GB 8978-1996 标准，设备材料不含铅、汞等有害物质，符合 RoHS 指令要求。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适配性与安装要求：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尺寸与重量：设备外形尺寸（长 × 宽 × 高）需适配我方预留安装空间（可由供应商进行现场踏勘），整机重量≤3500kg，便于现场吊装和安装；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接口要求：进水接口为DN40法兰或者螺纹接口，支持冷水、热水进水；排水接口可由供应商现场安装调试时调整；电源接口为三相五线制接线，需独立配备空气开关；蒸汽接口为DN25法兰或螺纹连接，接口位置可根据我方现场情况调整。</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安装要求：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供应商需提供详细的蒸汽管道连接图纸、压力匹配方案及安装技术要求，负责现场蒸汽管道对接（不含主管道改造）、设备安装调试（含地基浇筑指导，若需）；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jc w:val="both"/>
        <w:textAlignment w:val="auto"/>
        <w:rPr>
          <w:rFonts w:hint="eastAsia" w:ascii="仿宋" w:hAnsi="仿宋" w:eastAsia="仿宋" w:cs="仿宋"/>
          <w:color w:val="1F2329"/>
          <w:kern w:val="2"/>
          <w:sz w:val="24"/>
          <w:szCs w:val="24"/>
          <w:lang w:val="en-US" w:eastAsia="zh-CN" w:bidi="ar-SA"/>
        </w:rPr>
      </w:pPr>
      <w:r>
        <w:rPr>
          <w:rFonts w:hint="eastAsia" w:ascii="仿宋" w:hAnsi="仿宋" w:eastAsia="仿宋" w:cs="仿宋"/>
          <w:color w:val="1F2329"/>
          <w:kern w:val="2"/>
          <w:sz w:val="24"/>
          <w:szCs w:val="24"/>
          <w:lang w:val="en-US" w:eastAsia="zh-CN" w:bidi="ar-SA"/>
        </w:rPr>
        <w:t>安装完成后确保设备水平度偏差≤0.5mm/m，进行满载蒸汽加热试运行测试（连续 3 次 90℃洗涤程序），测试蒸汽压力稳定性、加热效率及能耗达标后方可验收。</w:t>
      </w:r>
    </w:p>
    <w:p>
      <w:pPr>
        <w:pStyle w:val="3"/>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587" w:header="851" w:footer="992" w:gutter="0"/>
          <w:lnNumType w:countBy="0" w:restart="continuous"/>
          <w:cols w:space="425" w:num="1"/>
          <w:docGrid w:type="lines" w:linePitch="312" w:charSpace="0"/>
        </w:sectPr>
      </w:pPr>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pPr>
        <w:ind w:right="420"/>
        <w:rPr>
          <w:rFonts w:hint="eastAsia"/>
          <w:b/>
          <w:szCs w:val="21"/>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b/>
          <w:szCs w:val="21"/>
        </w:rPr>
        <w:t xml:space="preserve">  </w:t>
      </w:r>
    </w:p>
    <w:tbl>
      <w:tblPr>
        <w:tblStyle w:val="10"/>
        <w:tblW w:w="14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3669"/>
        <w:gridCol w:w="1380"/>
        <w:gridCol w:w="1365"/>
        <w:gridCol w:w="1265"/>
        <w:gridCol w:w="1375"/>
        <w:gridCol w:w="2165"/>
        <w:gridCol w:w="1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5" w:hRule="atLeast"/>
        </w:trPr>
        <w:tc>
          <w:tcPr>
            <w:tcW w:w="1172"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序号</w:t>
            </w:r>
          </w:p>
        </w:tc>
        <w:tc>
          <w:tcPr>
            <w:tcW w:w="3669"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名称</w:t>
            </w:r>
          </w:p>
        </w:tc>
        <w:tc>
          <w:tcPr>
            <w:tcW w:w="1380"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单价（元）</w:t>
            </w:r>
          </w:p>
        </w:tc>
        <w:tc>
          <w:tcPr>
            <w:tcW w:w="136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数量（台）</w:t>
            </w:r>
          </w:p>
        </w:tc>
        <w:tc>
          <w:tcPr>
            <w:tcW w:w="126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总价（元）</w:t>
            </w:r>
          </w:p>
        </w:tc>
        <w:tc>
          <w:tcPr>
            <w:tcW w:w="137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质保期（年）</w:t>
            </w:r>
          </w:p>
        </w:tc>
        <w:tc>
          <w:tcPr>
            <w:tcW w:w="2165" w:type="dxa"/>
            <w:vAlign w:val="center"/>
          </w:tcPr>
          <w:p>
            <w:pPr>
              <w:ind w:right="420"/>
              <w:jc w:val="center"/>
              <w:rPr>
                <w:rFonts w:hint="default" w:eastAsia="宋体"/>
                <w:b/>
                <w:szCs w:val="21"/>
                <w:vertAlign w:val="baseline"/>
                <w:lang w:val="en-US" w:eastAsia="zh-CN"/>
              </w:rPr>
            </w:pPr>
            <w:r>
              <w:rPr>
                <w:rFonts w:hint="eastAsia"/>
                <w:b/>
                <w:szCs w:val="21"/>
                <w:vertAlign w:val="baseline"/>
                <w:lang w:val="en-US" w:eastAsia="zh-CN"/>
              </w:rPr>
              <w:t>规格型号</w:t>
            </w:r>
          </w:p>
        </w:tc>
        <w:tc>
          <w:tcPr>
            <w:tcW w:w="1769"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23" w:hRule="atLeast"/>
        </w:trPr>
        <w:tc>
          <w:tcPr>
            <w:tcW w:w="1172" w:type="dxa"/>
          </w:tcPr>
          <w:p>
            <w:pPr>
              <w:ind w:right="420"/>
              <w:rPr>
                <w:rFonts w:hint="eastAsia"/>
                <w:b/>
                <w:szCs w:val="21"/>
                <w:vertAlign w:val="baseline"/>
              </w:rPr>
            </w:pPr>
          </w:p>
        </w:tc>
        <w:tc>
          <w:tcPr>
            <w:tcW w:w="3669" w:type="dxa"/>
          </w:tcPr>
          <w:p>
            <w:pPr>
              <w:ind w:right="420"/>
              <w:rPr>
                <w:rFonts w:hint="eastAsia"/>
                <w:b/>
                <w:szCs w:val="21"/>
                <w:vertAlign w:val="baseline"/>
              </w:rPr>
            </w:pPr>
          </w:p>
        </w:tc>
        <w:tc>
          <w:tcPr>
            <w:tcW w:w="1380" w:type="dxa"/>
          </w:tcPr>
          <w:p>
            <w:pPr>
              <w:ind w:right="420"/>
              <w:rPr>
                <w:rFonts w:hint="eastAsia"/>
                <w:b/>
                <w:szCs w:val="21"/>
                <w:vertAlign w:val="baseline"/>
              </w:rPr>
            </w:pPr>
          </w:p>
        </w:tc>
        <w:tc>
          <w:tcPr>
            <w:tcW w:w="1365" w:type="dxa"/>
          </w:tcPr>
          <w:p>
            <w:pPr>
              <w:ind w:right="420"/>
              <w:rPr>
                <w:rFonts w:hint="eastAsia"/>
                <w:b/>
                <w:szCs w:val="21"/>
                <w:vertAlign w:val="baseline"/>
              </w:rPr>
            </w:pPr>
          </w:p>
        </w:tc>
        <w:tc>
          <w:tcPr>
            <w:tcW w:w="1265" w:type="dxa"/>
          </w:tcPr>
          <w:p>
            <w:pPr>
              <w:ind w:right="420"/>
              <w:rPr>
                <w:rFonts w:hint="eastAsia"/>
                <w:b/>
                <w:szCs w:val="21"/>
                <w:vertAlign w:val="baseline"/>
              </w:rPr>
            </w:pPr>
          </w:p>
        </w:tc>
        <w:tc>
          <w:tcPr>
            <w:tcW w:w="1375" w:type="dxa"/>
          </w:tcPr>
          <w:p>
            <w:pPr>
              <w:ind w:right="420"/>
              <w:rPr>
                <w:rFonts w:hint="eastAsia"/>
                <w:b/>
                <w:szCs w:val="21"/>
                <w:vertAlign w:val="baseline"/>
              </w:rPr>
            </w:pPr>
          </w:p>
        </w:tc>
        <w:tc>
          <w:tcPr>
            <w:tcW w:w="2165" w:type="dxa"/>
          </w:tcPr>
          <w:p>
            <w:pPr>
              <w:ind w:right="420"/>
              <w:rPr>
                <w:rFonts w:hint="eastAsia"/>
                <w:b/>
                <w:szCs w:val="21"/>
                <w:vertAlign w:val="baseline"/>
              </w:rPr>
            </w:pPr>
          </w:p>
        </w:tc>
        <w:tc>
          <w:tcPr>
            <w:tcW w:w="1769" w:type="dxa"/>
          </w:tcPr>
          <w:p>
            <w:pPr>
              <w:ind w:right="420"/>
              <w:rPr>
                <w:rFonts w:hint="eastAsia"/>
                <w:b/>
                <w:szCs w:val="21"/>
                <w:vertAlign w:val="baseline"/>
              </w:rPr>
            </w:pPr>
          </w:p>
        </w:tc>
      </w:tr>
    </w:tbl>
    <w:p>
      <w:pPr>
        <w:ind w:right="420"/>
        <w:rPr>
          <w:rFonts w:hint="eastAsia"/>
          <w:lang w:val="en-US" w:eastAsia="zh-CN"/>
        </w:rPr>
        <w:sectPr>
          <w:pgSz w:w="16838" w:h="11906" w:orient="landscape"/>
          <w:pgMar w:top="1474" w:right="1587" w:bottom="1474" w:left="1474" w:header="851" w:footer="992" w:gutter="0"/>
          <w:lnNumType w:countBy="0" w:restart="continuous"/>
          <w:cols w:space="425" w:num="1"/>
          <w:docGrid w:type="lines" w:linePitch="312" w:charSpace="0"/>
        </w:sectPr>
      </w:pPr>
      <w:r>
        <w:rPr>
          <w:rFonts w:hint="eastAsia"/>
          <w:b/>
          <w:szCs w:val="21"/>
        </w:rPr>
        <w:t xml:space="preserve">                                                                                  </w:t>
      </w:r>
    </w:p>
    <w:p>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pStyle w:val="2"/>
        <w:rPr>
          <w:rFonts w:hint="eastAsia"/>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cs="宋体"/>
          <w:b/>
          <w:bCs/>
          <w:sz w:val="28"/>
          <w:szCs w:val="28"/>
          <w:lang w:val="en-US" w:eastAsia="zh-CN"/>
        </w:rPr>
        <w:t>2.4</w:t>
      </w:r>
      <w:r>
        <w:rPr>
          <w:rFonts w:hint="eastAsia" w:ascii="宋体" w:hAnsi="宋体" w:eastAsia="宋体" w:cs="宋体"/>
          <w:b/>
          <w:bCs/>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5</w:t>
      </w:r>
      <w:r>
        <w:rPr>
          <w:rFonts w:hint="eastAsia" w:ascii="宋体" w:hAnsi="宋体" w:eastAsia="宋体" w:cs="宋体"/>
          <w:b/>
          <w:bCs/>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2.7</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3"/>
        <w:rPr>
          <w:rFonts w:hint="eastAsia" w:ascii="仿宋" w:hAnsi="仿宋" w:eastAsia="仿宋" w:cs="仿宋"/>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3"/>
        <w:rPr>
          <w:rFonts w:hint="eastAsia" w:ascii="仿宋" w:hAnsi="仿宋" w:eastAsia="仿宋" w:cs="仿宋"/>
          <w:sz w:val="28"/>
          <w:szCs w:val="28"/>
          <w:lang w:val="en-US" w:eastAsia="zh-CN"/>
        </w:rPr>
      </w:pPr>
    </w:p>
    <w:p>
      <w:pPr>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技术部分：</w:t>
      </w:r>
    </w:p>
    <w:p>
      <w:pPr>
        <w:bidi w:val="0"/>
        <w:rPr>
          <w:rFonts w:hint="eastAsia" w:asciiTheme="minorEastAsia" w:hAnsiTheme="minorEastAsia" w:eastAsiaTheme="minorEastAsia" w:cstheme="minorEastAsia"/>
          <w:sz w:val="28"/>
          <w:szCs w:val="28"/>
          <w:lang w:val="en-US" w:eastAsia="zh-CN"/>
        </w:rPr>
      </w:pPr>
      <w:bookmarkStart w:id="13" w:name="_GoBack"/>
      <w:bookmarkEnd w:id="13"/>
      <w:r>
        <w:rPr>
          <w:rFonts w:hint="eastAsia" w:asciiTheme="minorEastAsia" w:hAnsiTheme="minorEastAsia" w:eastAsiaTheme="minorEastAsia" w:cstheme="minorEastAsia"/>
          <w:sz w:val="28"/>
          <w:szCs w:val="28"/>
          <w:lang w:val="en-US" w:eastAsia="zh-CN"/>
        </w:rPr>
        <w:t>3.1产品技术资料，含产品彩页、产品说明书等。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3.3供应商认为须提供的其他材料。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9923"/>
      <w:bookmarkStart w:id="2" w:name="_Toc7334"/>
      <w:bookmarkStart w:id="3" w:name="_Toc12278"/>
      <w:r>
        <w:rPr>
          <w:rFonts w:hint="eastAsia" w:ascii="仿宋" w:hAnsi="仿宋" w:eastAsia="仿宋" w:cs="仿宋"/>
          <w:b/>
          <w:color w:val="auto"/>
          <w:sz w:val="28"/>
          <w:szCs w:val="28"/>
        </w:rPr>
        <w:t>中小企业声明函（如有）</w:t>
      </w:r>
      <w:bookmarkEnd w:id="1"/>
      <w:bookmarkEnd w:id="2"/>
      <w:bookmarkEnd w:id="3"/>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pPr>
        <w:pStyle w:val="14"/>
        <w:adjustRightInd w:val="0"/>
        <w:snapToGrid w:val="0"/>
        <w:spacing w:line="360" w:lineRule="auto"/>
        <w:rPr>
          <w:rFonts w:hint="eastAsia" w:ascii="仿宋" w:hAnsi="仿宋" w:eastAsia="仿宋" w:cs="仿宋"/>
          <w:color w:val="auto"/>
          <w:sz w:val="24"/>
          <w:szCs w:val="24"/>
        </w:rPr>
      </w:pP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8849"/>
      <w:bookmarkStart w:id="5" w:name="_Toc27763"/>
      <w:bookmarkStart w:id="6" w:name="_Toc25914"/>
      <w:bookmarkStart w:id="7" w:name="_Toc26663"/>
      <w:bookmarkStart w:id="8" w:name="_Toc12194"/>
      <w:bookmarkStart w:id="9" w:name="_Toc6320"/>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26397"/>
      <w:bookmarkStart w:id="11" w:name="_Toc24071"/>
      <w:bookmarkStart w:id="12" w:name="_Toc8907"/>
    </w:p>
    <w:p>
      <w:pPr>
        <w:pStyle w:val="2"/>
        <w:rPr>
          <w:rFonts w:hint="eastAsia"/>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57F83A"/>
    <w:multiLevelType w:val="singleLevel"/>
    <w:tmpl w:val="F657F83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92471B0"/>
    <w:rsid w:val="0CD60EEA"/>
    <w:rsid w:val="0CEE54C8"/>
    <w:rsid w:val="0E517DED"/>
    <w:rsid w:val="137D4A28"/>
    <w:rsid w:val="14AB44EF"/>
    <w:rsid w:val="18486BBA"/>
    <w:rsid w:val="1BA261C1"/>
    <w:rsid w:val="1DDD6FCB"/>
    <w:rsid w:val="20022706"/>
    <w:rsid w:val="224A136D"/>
    <w:rsid w:val="292F7978"/>
    <w:rsid w:val="29606563"/>
    <w:rsid w:val="2D795D59"/>
    <w:rsid w:val="328F2A57"/>
    <w:rsid w:val="46D1471D"/>
    <w:rsid w:val="48711144"/>
    <w:rsid w:val="48DD6EFD"/>
    <w:rsid w:val="4A2E6CCE"/>
    <w:rsid w:val="4ABE7791"/>
    <w:rsid w:val="4C6A2EA4"/>
    <w:rsid w:val="51284122"/>
    <w:rsid w:val="521D069E"/>
    <w:rsid w:val="524763D0"/>
    <w:rsid w:val="53B333B0"/>
    <w:rsid w:val="56D72364"/>
    <w:rsid w:val="58B53CD8"/>
    <w:rsid w:val="59CE44C9"/>
    <w:rsid w:val="5AF328A5"/>
    <w:rsid w:val="5F00140B"/>
    <w:rsid w:val="62392F01"/>
    <w:rsid w:val="68DF777A"/>
    <w:rsid w:val="6B8F6694"/>
    <w:rsid w:val="7086465D"/>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156</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2026-01-13T02:03:49Z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