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0"/>
          <w:szCs w:val="30"/>
          <w:lang w:val="en-US" w:eastAsia="zh-CN"/>
        </w:rPr>
      </w:pPr>
      <w:r>
        <w:rPr>
          <w:rFonts w:hint="eastAsia" w:asciiTheme="majorEastAsia" w:hAnsiTheme="majorEastAsia" w:eastAsiaTheme="majorEastAsia" w:cstheme="majorEastAsia"/>
          <w:sz w:val="30"/>
          <w:szCs w:val="30"/>
          <w:lang w:val="en-US" w:eastAsia="zh-CN"/>
        </w:rPr>
        <w:t xml:space="preserve">附件一：  工业洗衣机采购需求  </w:t>
      </w:r>
      <w:r>
        <w:rPr>
          <w:rFonts w:hint="eastAsia" w:ascii="仿宋" w:hAnsi="仿宋" w:eastAsia="仿宋" w:cs="仿宋"/>
          <w:sz w:val="30"/>
          <w:szCs w:val="30"/>
          <w:lang w:val="en-US" w:eastAsia="zh-CN"/>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sz w:val="24"/>
          <w:szCs w:val="24"/>
          <w:lang w:val="en-US" w:eastAsia="zh-CN"/>
        </w:rPr>
      </w:pPr>
      <w:bookmarkStart w:id="13" w:name="_GoBack"/>
      <w:bookmarkEnd w:id="13"/>
      <w:r>
        <w:rPr>
          <w:rFonts w:hint="eastAsia" w:ascii="仿宋" w:hAnsi="仿宋" w:eastAsia="仿宋" w:cs="仿宋"/>
          <w:sz w:val="24"/>
          <w:szCs w:val="24"/>
          <w:lang w:val="en-US" w:eastAsia="zh-CN"/>
        </w:rPr>
        <w:t>额定容量：额定洗涤容量≥100公斤（按干衣重量计算），实际装载量不低于额定容量的95%。</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结构材质：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内筒材质：采用304或者316不锈钢，厚度≥3mm，耐腐蚀、抗磨损，表面光滑无毛刺。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sz w:val="24"/>
          <w:szCs w:val="24"/>
          <w:lang w:val="en-US" w:eastAsia="zh-CN"/>
        </w:rPr>
        <w:t>外筒及机架：外筒采用304不锈钢，机架采用优质碳钢焊接并经除锈、电泳+喷塑处理，防锈等级≥</w:t>
      </w:r>
      <w:r>
        <w:rPr>
          <w:rFonts w:hint="eastAsia" w:ascii="仿宋" w:hAnsi="仿宋" w:eastAsia="仿宋" w:cs="仿宋"/>
          <w:color w:val="1F2329"/>
          <w:kern w:val="2"/>
          <w:sz w:val="24"/>
          <w:szCs w:val="24"/>
          <w:lang w:val="en-US" w:eastAsia="zh-CN" w:bidi="ar-SA"/>
        </w:rPr>
        <w:t>GB/T 10125-2021 标准中的 5 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门体：不锈钢材质，配备双重安全锁（电子锁+机械锁）。</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洗涤性能：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转速：洗涤转速≥40r/min，脱水转速≥800r/min，脱水率≥75%。</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程序设置：预设至少 15 种洗涤程序（如棉麻、化纤、羊毛、强力去污、节能洗涤等），支持自定义程序存储（≥20 组），可调节水温（常温 - 95℃）、洗涤时间（5-120 分钟）、漂洗次数（1-5 次）、脱水时间；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洗净度：符合 GB/T 26114-2010《工业洗衣机》标准，洗净比≥1.05，能有效去除油污、粉尘等工业污渍。</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加热方式与能耗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加热类型：采用蒸汽加热模式。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额定蒸汽压力：0.4-0.8MPa（可调），适配我方蒸汽供应系统。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蒸汽接口：DN25 法兰或螺纹接口，配备蒸汽过滤器、止回阀及压力调节阀，防止蒸汽回流和杂质进入；</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能耗指标：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蒸汽消耗量：100 公斤满载 60℃洗涤程序，单次蒸汽耗量≤80kg（按 0.6MPa 饱和蒸汽计算）；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水耗：每公斤干衣洗涤耗水量≤15L，100 公斤满载单次耗水量≤1500L；</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能效等级：符合 GB 19153-2019 相关要求，综合能效等级≥2 级。</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控制与操作：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配备 7 英寸及以上彩色触摸屏，操作界面简洁易懂，支持中文显示，可实时显示洗涤状态、剩余时间、故障代码、蒸汽压力、水温等参数；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具备自动称重功能，根据衣物重量自动调节水量、蒸汽供应量，避免浪费；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支持清洗数据打印功能和清洗数据导出功能，查看设备运行数据、故障报警、保养提醒及蒸汽 / 水耗统计。</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安全保护：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安全保护：具备过载保护、过流保护、过热保护、缺水保护、排水故障保护、门未关紧保护等多重安全机制；新增蒸汽压力过高保护（超压自动泄压，泄压压力≤0.9MPa）、换热器防干烧保护，故障发生时自动停机并报警；具备禁止停止功能及对应操作装置（急停按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漏电保护：设备接地电阻≤4Ω，漏电保护装置动作电流≤30mA，动作时间≤0.1s，符合 GB 12021.4-2013 安全标准；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振动与降噪：配备减震器和平衡装置，运行时整机振动加速度≤0.5g，脱水时噪音≤75dB (A），洗涤时噪音≤65dB (A）（按 GB/T 4214.1-2017 测试）；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环保与蒸汽安全：蒸汽管道及接口密封良好，无泄漏，蒸汽管道外层需包裹保温层（保温材料阻燃等级≥B1 级），表面温度≤60℃，防止烫伤；洗涤剂投放系统密封良好，无泄漏，废水排放符合 GB 8978-1996 标准，设备材料不含铅、汞等有害物质，符合 RoHS 指令要求。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适配性与安装要求：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尺寸与重量：设备外形尺寸（长 × 宽 × 高）需适配我方预留安装空间（可由供应商进行现场踏勘），整机重量≤3500kg，便于现场吊装和安装；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接口要求：进水接口为DN40法兰或者螺纹接口，支持冷水、热水进水；排水接口可由供应商现场安装调试时调整；电源接口为三相五线制接线，需独立配备空气开关；蒸汽接口为DN25法兰或螺纹连接，接口位置可根据我方现场情况调整。</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安装要求：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供应商需提供详细的蒸汽管道连接图纸、压力匹配方案及安装技术要求，负责现场蒸汽管道对接（不含主管道改造）、设备安装调试（含地基浇筑指导，若需）；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安装完成后确保设备水平度偏差≤0.5mm/m，进行满载蒸汽加热试运行测试（连续 3 次 90℃洗涤程序），测试蒸汽压力稳定性、加热效率及能耗达标后方可验收。</w:t>
      </w:r>
    </w:p>
    <w:p>
      <w:pPr>
        <w:pStyle w:val="3"/>
        <w:rPr>
          <w:rFonts w:hint="eastAsia" w:ascii="黑体" w:hAnsi="黑体" w:eastAsia="黑体" w:cs="黑体"/>
          <w:b w:val="0"/>
          <w:bCs w:val="0"/>
          <w:color w:val="auto"/>
          <w:sz w:val="32"/>
          <w:szCs w:val="32"/>
          <w:lang w:val="en-US" w:eastAsia="zh-CN"/>
        </w:rPr>
      </w:pPr>
    </w:p>
    <w:p>
      <w:pPr>
        <w:pStyle w:val="2"/>
        <w:rPr>
          <w:rFonts w:hint="eastAsia" w:ascii="黑体" w:hAnsi="黑体" w:eastAsia="黑体" w:cs="黑体"/>
          <w:b w:val="0"/>
          <w:bCs w:val="0"/>
          <w:color w:val="auto"/>
          <w:sz w:val="32"/>
          <w:szCs w:val="32"/>
          <w:lang w:val="en-US" w:eastAsia="zh-CN"/>
        </w:rPr>
      </w:pPr>
    </w:p>
    <w:p>
      <w:pPr>
        <w:pStyle w:val="3"/>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  </w:t>
      </w:r>
    </w:p>
    <w:p>
      <w:pPr>
        <w:bidi w:val="0"/>
        <w:ind w:left="0" w:leftChars="0" w:firstLine="0" w:firstLineChars="0"/>
        <w:rPr>
          <w:rFonts w:hint="eastAsia" w:ascii="黑体" w:hAnsi="黑体" w:eastAsia="黑体" w:cs="黑体"/>
          <w:b/>
          <w:bCs/>
          <w:color w:val="auto"/>
          <w:sz w:val="32"/>
          <w:szCs w:val="32"/>
          <w:lang w:val="en-US" w:eastAsia="zh-CN"/>
        </w:rPr>
      </w:pPr>
    </w:p>
    <w:p>
      <w:pPr>
        <w:bidi w:val="0"/>
        <w:ind w:left="0" w:leftChars="0" w:firstLine="0" w:firstLineChars="0"/>
        <w:rPr>
          <w:rFonts w:hint="eastAsia" w:ascii="黑体" w:hAnsi="黑体" w:eastAsia="黑体" w:cs="黑体"/>
          <w:b/>
          <w:bCs/>
          <w:color w:val="auto"/>
          <w:sz w:val="32"/>
          <w:szCs w:val="32"/>
          <w:lang w:val="en-US" w:eastAsia="zh-CN"/>
        </w:rPr>
        <w:sectPr>
          <w:headerReference r:id="rId3" w:type="default"/>
          <w:footerReference r:id="rId4" w:type="default"/>
          <w:pgSz w:w="11906" w:h="16838"/>
          <w:pgMar w:top="1587" w:right="1474" w:bottom="1474" w:left="1587" w:header="851" w:footer="992" w:gutter="0"/>
          <w:lnNumType w:countBy="0" w:restart="continuous"/>
          <w:cols w:space="425" w:num="1"/>
          <w:docGrid w:type="lines" w:linePitch="312" w:charSpace="0"/>
        </w:sectPr>
      </w:pPr>
    </w:p>
    <w:p>
      <w:pPr>
        <w:bidi w:val="0"/>
        <w:ind w:left="0" w:leftChars="0" w:firstLine="0" w:firstLine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附件二：   响应文件格式</w:t>
      </w:r>
    </w:p>
    <w:p>
      <w:pPr>
        <w:ind w:right="420"/>
        <w:rPr>
          <w:rFonts w:hint="eastAsia"/>
          <w:b/>
          <w:szCs w:val="21"/>
        </w:rPr>
      </w:pPr>
      <w:r>
        <w:rPr>
          <w:rFonts w:hint="eastAsia" w:ascii="黑体" w:hAnsi="黑体" w:eastAsia="黑体" w:cs="黑体"/>
          <w:b/>
          <w:bCs/>
          <w:color w:val="auto"/>
          <w:sz w:val="32"/>
          <w:szCs w:val="32"/>
          <w:lang w:val="en-US" w:eastAsia="zh-CN"/>
        </w:rPr>
        <w:t xml:space="preserve"> 1.</w:t>
      </w:r>
      <w:r>
        <w:rPr>
          <w:rFonts w:hint="eastAsia" w:ascii="黑体" w:hAnsi="黑体" w:eastAsia="黑体" w:cs="黑体"/>
          <w:b/>
          <w:bCs/>
          <w:color w:val="auto"/>
          <w:sz w:val="32"/>
          <w:szCs w:val="32"/>
        </w:rPr>
        <w:t>首次报价表一览表</w:t>
      </w:r>
      <w:r>
        <w:rPr>
          <w:rFonts w:hint="eastAsia"/>
          <w:b/>
          <w:szCs w:val="21"/>
        </w:rPr>
        <w:t xml:space="preserve">  </w:t>
      </w:r>
    </w:p>
    <w:tbl>
      <w:tblPr>
        <w:tblStyle w:val="10"/>
        <w:tblW w:w="14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172"/>
        <w:gridCol w:w="3669"/>
        <w:gridCol w:w="1380"/>
        <w:gridCol w:w="1365"/>
        <w:gridCol w:w="1265"/>
        <w:gridCol w:w="1375"/>
        <w:gridCol w:w="2165"/>
        <w:gridCol w:w="1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695" w:hRule="atLeast"/>
        </w:trPr>
        <w:tc>
          <w:tcPr>
            <w:tcW w:w="1172"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序号</w:t>
            </w:r>
          </w:p>
        </w:tc>
        <w:tc>
          <w:tcPr>
            <w:tcW w:w="3669"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名称</w:t>
            </w:r>
          </w:p>
        </w:tc>
        <w:tc>
          <w:tcPr>
            <w:tcW w:w="1380"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单价（元）</w:t>
            </w:r>
          </w:p>
        </w:tc>
        <w:tc>
          <w:tcPr>
            <w:tcW w:w="1365"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数量（台）</w:t>
            </w:r>
          </w:p>
        </w:tc>
        <w:tc>
          <w:tcPr>
            <w:tcW w:w="1265"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总价（元）</w:t>
            </w:r>
          </w:p>
        </w:tc>
        <w:tc>
          <w:tcPr>
            <w:tcW w:w="1375"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质保期（年）</w:t>
            </w:r>
          </w:p>
        </w:tc>
        <w:tc>
          <w:tcPr>
            <w:tcW w:w="2165" w:type="dxa"/>
            <w:vAlign w:val="center"/>
          </w:tcPr>
          <w:p>
            <w:pPr>
              <w:ind w:right="420"/>
              <w:jc w:val="center"/>
              <w:rPr>
                <w:rFonts w:hint="default" w:eastAsia="宋体"/>
                <w:b/>
                <w:szCs w:val="21"/>
                <w:vertAlign w:val="baseline"/>
                <w:lang w:val="en-US" w:eastAsia="zh-CN"/>
              </w:rPr>
            </w:pPr>
            <w:r>
              <w:rPr>
                <w:rFonts w:hint="eastAsia"/>
                <w:b/>
                <w:szCs w:val="21"/>
                <w:vertAlign w:val="baseline"/>
                <w:lang w:val="en-US" w:eastAsia="zh-CN"/>
              </w:rPr>
              <w:t>规格型号</w:t>
            </w:r>
          </w:p>
        </w:tc>
        <w:tc>
          <w:tcPr>
            <w:tcW w:w="1769"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423" w:hRule="atLeast"/>
        </w:trPr>
        <w:tc>
          <w:tcPr>
            <w:tcW w:w="1172" w:type="dxa"/>
          </w:tcPr>
          <w:p>
            <w:pPr>
              <w:ind w:right="420"/>
              <w:rPr>
                <w:rFonts w:hint="eastAsia"/>
                <w:b/>
                <w:szCs w:val="21"/>
                <w:vertAlign w:val="baseline"/>
              </w:rPr>
            </w:pPr>
          </w:p>
        </w:tc>
        <w:tc>
          <w:tcPr>
            <w:tcW w:w="3669" w:type="dxa"/>
          </w:tcPr>
          <w:p>
            <w:pPr>
              <w:ind w:right="420"/>
              <w:rPr>
                <w:rFonts w:hint="eastAsia"/>
                <w:b/>
                <w:szCs w:val="21"/>
                <w:vertAlign w:val="baseline"/>
              </w:rPr>
            </w:pPr>
          </w:p>
        </w:tc>
        <w:tc>
          <w:tcPr>
            <w:tcW w:w="1380" w:type="dxa"/>
          </w:tcPr>
          <w:p>
            <w:pPr>
              <w:ind w:right="420"/>
              <w:rPr>
                <w:rFonts w:hint="eastAsia"/>
                <w:b/>
                <w:szCs w:val="21"/>
                <w:vertAlign w:val="baseline"/>
              </w:rPr>
            </w:pPr>
          </w:p>
        </w:tc>
        <w:tc>
          <w:tcPr>
            <w:tcW w:w="1365" w:type="dxa"/>
          </w:tcPr>
          <w:p>
            <w:pPr>
              <w:ind w:right="420"/>
              <w:rPr>
                <w:rFonts w:hint="eastAsia"/>
                <w:b/>
                <w:szCs w:val="21"/>
                <w:vertAlign w:val="baseline"/>
              </w:rPr>
            </w:pPr>
          </w:p>
        </w:tc>
        <w:tc>
          <w:tcPr>
            <w:tcW w:w="1265" w:type="dxa"/>
          </w:tcPr>
          <w:p>
            <w:pPr>
              <w:ind w:right="420"/>
              <w:rPr>
                <w:rFonts w:hint="eastAsia"/>
                <w:b/>
                <w:szCs w:val="21"/>
                <w:vertAlign w:val="baseline"/>
              </w:rPr>
            </w:pPr>
          </w:p>
        </w:tc>
        <w:tc>
          <w:tcPr>
            <w:tcW w:w="1375" w:type="dxa"/>
          </w:tcPr>
          <w:p>
            <w:pPr>
              <w:ind w:right="420"/>
              <w:rPr>
                <w:rFonts w:hint="eastAsia"/>
                <w:b/>
                <w:szCs w:val="21"/>
                <w:vertAlign w:val="baseline"/>
              </w:rPr>
            </w:pPr>
          </w:p>
        </w:tc>
        <w:tc>
          <w:tcPr>
            <w:tcW w:w="2165" w:type="dxa"/>
          </w:tcPr>
          <w:p>
            <w:pPr>
              <w:ind w:right="420"/>
              <w:rPr>
                <w:rFonts w:hint="eastAsia"/>
                <w:b/>
                <w:szCs w:val="21"/>
                <w:vertAlign w:val="baseline"/>
              </w:rPr>
            </w:pPr>
          </w:p>
        </w:tc>
        <w:tc>
          <w:tcPr>
            <w:tcW w:w="1769" w:type="dxa"/>
          </w:tcPr>
          <w:p>
            <w:pPr>
              <w:ind w:right="420"/>
              <w:rPr>
                <w:rFonts w:hint="eastAsia"/>
                <w:b/>
                <w:szCs w:val="21"/>
                <w:vertAlign w:val="baseline"/>
              </w:rPr>
            </w:pPr>
          </w:p>
        </w:tc>
      </w:tr>
    </w:tbl>
    <w:p>
      <w:pPr>
        <w:ind w:right="420"/>
        <w:rPr>
          <w:rFonts w:hint="eastAsia"/>
          <w:lang w:val="en-US" w:eastAsia="zh-CN"/>
        </w:rPr>
        <w:sectPr>
          <w:pgSz w:w="16838" w:h="11906" w:orient="landscape"/>
          <w:pgMar w:top="1474" w:right="1587" w:bottom="1474" w:left="1474" w:header="851" w:footer="992" w:gutter="0"/>
          <w:lnNumType w:countBy="0" w:restart="continuous"/>
          <w:cols w:space="425" w:num="1"/>
          <w:docGrid w:type="lines" w:linePitch="312" w:charSpace="0"/>
        </w:sectPr>
      </w:pPr>
      <w:r>
        <w:rPr>
          <w:rFonts w:hint="eastAsia"/>
          <w:b/>
          <w:szCs w:val="21"/>
        </w:rPr>
        <w:t xml:space="preserve">                                                                                  </w:t>
      </w:r>
    </w:p>
    <w:p>
      <w:pPr>
        <w:widowControl/>
        <w:spacing w:line="360" w:lineRule="auto"/>
        <w:jc w:val="both"/>
        <w:rPr>
          <w:rFonts w:hint="eastAsia" w:ascii="宋体" w:hAnsi="宋体" w:cs="宋体"/>
          <w:b/>
          <w:bCs/>
          <w:sz w:val="32"/>
          <w:szCs w:val="32"/>
          <w:lang w:val="en-US" w:eastAsia="zh-CN"/>
        </w:rPr>
      </w:pPr>
      <w:r>
        <w:rPr>
          <w:rFonts w:hint="eastAsia" w:ascii="宋体" w:hAnsi="宋体" w:cs="宋体"/>
          <w:b/>
          <w:bCs/>
          <w:sz w:val="32"/>
          <w:szCs w:val="32"/>
          <w:lang w:val="en-US" w:eastAsia="zh-CN"/>
        </w:rPr>
        <w:t>2.资格审查部分：</w:t>
      </w:r>
    </w:p>
    <w:p>
      <w:pPr>
        <w:widowControl/>
        <w:spacing w:line="360" w:lineRule="auto"/>
        <w:jc w:val="center"/>
        <w:rPr>
          <w:rFonts w:hint="eastAsia" w:ascii="宋体" w:hAnsi="宋体" w:eastAsia="宋体" w:cs="宋体"/>
          <w:b/>
          <w:bCs/>
          <w:color w:val="auto"/>
          <w:sz w:val="24"/>
          <w:szCs w:val="24"/>
        </w:rPr>
      </w:pPr>
      <w:r>
        <w:rPr>
          <w:rFonts w:hint="eastAsia" w:ascii="宋体" w:hAnsi="宋体" w:cs="宋体"/>
          <w:b/>
          <w:bCs/>
          <w:sz w:val="24"/>
          <w:szCs w:val="24"/>
          <w:lang w:val="en-US" w:eastAsia="zh-CN"/>
        </w:rPr>
        <w:t>2.1</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9"/>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pStyle w:val="2"/>
        <w:rPr>
          <w:rFonts w:hint="eastAsia"/>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9"/>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pStyle w:val="2"/>
        <w:rPr>
          <w:rFonts w:hint="eastAsia"/>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3</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numPr>
          <w:ilvl w:val="0"/>
          <w:numId w:val="0"/>
        </w:numPr>
        <w:ind w:leftChars="0"/>
        <w:rPr>
          <w:rFonts w:hint="eastAsia" w:ascii="宋体" w:hAnsi="宋体" w:eastAsia="宋体" w:cs="宋体"/>
          <w:sz w:val="28"/>
          <w:szCs w:val="28"/>
          <w:lang w:val="en-US" w:eastAsia="zh-CN"/>
        </w:rPr>
      </w:pPr>
    </w:p>
    <w:p>
      <w:pPr>
        <w:pStyle w:val="5"/>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rPr>
      </w:pPr>
      <w:r>
        <w:rPr>
          <w:rFonts w:hint="eastAsia" w:ascii="宋体" w:hAnsi="宋体" w:cs="宋体"/>
          <w:b/>
          <w:bCs/>
          <w:sz w:val="28"/>
          <w:szCs w:val="28"/>
          <w:lang w:val="en-US" w:eastAsia="zh-CN"/>
        </w:rPr>
        <w:t>2.4</w:t>
      </w:r>
      <w:r>
        <w:rPr>
          <w:rFonts w:hint="eastAsia" w:ascii="宋体" w:hAnsi="宋体" w:eastAsia="宋体" w:cs="宋体"/>
          <w:b/>
          <w:bCs/>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5</w:t>
      </w:r>
      <w:r>
        <w:rPr>
          <w:rFonts w:hint="eastAsia" w:ascii="宋体" w:hAnsi="宋体" w:eastAsia="宋体" w:cs="宋体"/>
          <w:b/>
          <w:bCs/>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5"/>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提供</w:t>
      </w:r>
      <w:r>
        <w:rPr>
          <w:rFonts w:hint="eastAsia" w:ascii="宋体" w:hAnsi="宋体" w:eastAsia="宋体" w:cs="宋体"/>
          <w:b/>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bidi w:val="0"/>
        <w:rPr>
          <w:rFonts w:hint="eastAsia" w:ascii="宋体" w:hAnsi="宋体" w:eastAsia="宋体" w:cs="宋体"/>
          <w:b/>
          <w:bCs/>
          <w:sz w:val="28"/>
          <w:szCs w:val="28"/>
          <w:lang w:val="en-US" w:eastAsia="zh-CN"/>
        </w:rPr>
      </w:pPr>
      <w:r>
        <w:rPr>
          <w:rFonts w:hint="eastAsia" w:asciiTheme="minorEastAsia" w:hAnsiTheme="minorEastAsia" w:eastAsiaTheme="minorEastAsia" w:cstheme="minorEastAsia"/>
          <w:b/>
          <w:bCs/>
          <w:color w:val="auto"/>
          <w:sz w:val="28"/>
          <w:szCs w:val="28"/>
          <w:lang w:val="en-US" w:eastAsia="zh-CN"/>
        </w:rPr>
        <w:t>2.7</w:t>
      </w:r>
      <w:r>
        <w:rPr>
          <w:rFonts w:hint="eastAsia" w:asciiTheme="minorEastAsia" w:hAnsiTheme="minorEastAsia" w:eastAsiaTheme="minorEastAsia" w:cstheme="minorEastAsia"/>
          <w:b/>
          <w:bCs/>
          <w:color w:val="auto"/>
          <w:sz w:val="28"/>
          <w:szCs w:val="28"/>
          <w:lang w:val="en-US"/>
        </w:rPr>
        <w:t>提供参加政府采购活动前三年内在经营活动中没有重大违法记录及违规违纪行为的书面声明</w:t>
      </w:r>
      <w:r>
        <w:rPr>
          <w:rFonts w:hint="eastAsia" w:ascii="宋体" w:hAnsi="宋体" w:eastAsia="宋体" w:cs="宋体"/>
          <w:b/>
          <w:bCs/>
          <w:sz w:val="28"/>
          <w:szCs w:val="28"/>
          <w:lang w:val="en-US" w:eastAsia="zh-CN"/>
        </w:rPr>
        <w:t>。</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致：[采购单位名称]</w:t>
      </w:r>
    </w:p>
    <w:p>
      <w:pPr>
        <w:pStyle w:val="3"/>
        <w:rPr>
          <w:rFonts w:hint="eastAsia" w:ascii="仿宋" w:hAnsi="仿宋" w:eastAsia="仿宋" w:cs="仿宋"/>
          <w:lang w:val="en-US" w:eastAsia="zh-CN"/>
        </w:rPr>
      </w:pP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我单位[投标人全称]，统一社会信用代码为[具体代码]，现参与贵方组织的[项目名称]（项目编号：[具体编号]）的投标活动。在此，郑重作出如下声明：</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特此声明！</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投标人名称（加盖公章）：____________________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法定代表人/负责人（签字或盖章）：____________________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日期：______年____月____日</w:t>
      </w:r>
    </w:p>
    <w:p>
      <w:pPr>
        <w:pStyle w:val="3"/>
        <w:rPr>
          <w:rFonts w:hint="eastAsia" w:ascii="仿宋" w:hAnsi="仿宋" w:eastAsia="仿宋" w:cs="仿宋"/>
          <w:sz w:val="28"/>
          <w:szCs w:val="28"/>
          <w:lang w:val="en-US" w:eastAsia="zh-CN"/>
        </w:rPr>
      </w:pPr>
    </w:p>
    <w:p>
      <w:pPr>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w:t>
      </w:r>
      <w:r>
        <w:rPr>
          <w:rFonts w:hint="eastAsia" w:ascii="宋体" w:hAnsi="宋体" w:eastAsia="宋体" w:cs="宋体"/>
          <w:sz w:val="28"/>
          <w:szCs w:val="28"/>
          <w:lang w:val="en-US" w:eastAsia="zh-CN"/>
        </w:rPr>
        <w:t xml:space="preserve"> 技术部分：</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.1技术偏离表：</w:t>
      </w:r>
      <w:r>
        <w:rPr>
          <w:rFonts w:hint="eastAsia" w:ascii="宋体" w:hAnsi="宋体" w:cs="宋体"/>
          <w:sz w:val="28"/>
          <w:szCs w:val="28"/>
          <w:lang w:val="en-US" w:eastAsia="zh-CN"/>
        </w:rPr>
        <w:t>（供应商需在响应文件中列出参数逐条说明是否满足要求，是否偏离，并提供证明材料。）</w:t>
      </w:r>
    </w:p>
    <w:tbl>
      <w:tblPr>
        <w:tblStyle w:val="9"/>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pPr>
        <w:keepNext w:val="0"/>
        <w:keepLines w:val="0"/>
        <w:pageBreakBefore w:val="0"/>
        <w:widowControl/>
        <w:kinsoku/>
        <w:wordWrap/>
        <w:overflowPunct/>
        <w:topLinePunct w:val="0"/>
        <w:autoSpaceDE/>
        <w:autoSpaceDN/>
        <w:bidi w:val="0"/>
        <w:adjustRightInd/>
        <w:snapToGrid/>
        <w:spacing w:afterAutospacing="0" w:line="600" w:lineRule="exact"/>
        <w:textAlignment w:val="auto"/>
        <w:rPr>
          <w:rFonts w:hint="eastAsia" w:asciiTheme="minorEastAsia" w:hAnsiTheme="minorEastAsia" w:eastAsiaTheme="minorEastAsia" w:cstheme="minorEastAsia"/>
          <w:sz w:val="28"/>
          <w:szCs w:val="28"/>
          <w:lang w:val="en-US" w:eastAsia="zh-CN"/>
        </w:rPr>
      </w:pP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3.2产品技术资料，含产品彩页、产品说明书等。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3.3产品质量保证及售后服务承诺。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3.4供应商认为须提供的其他材料。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pgSz w:w="11906" w:h="16838"/>
          <w:pgMar w:top="1474" w:right="1474" w:bottom="1474" w:left="1474" w:header="851" w:footer="992" w:gutter="0"/>
          <w:lnNumType w:countBy="0" w:restart="continuous"/>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4</w:t>
      </w:r>
      <w:r>
        <w:rPr>
          <w:rFonts w:hint="eastAsia" w:ascii="宋体" w:hAnsi="宋体" w:eastAsia="宋体" w:cs="宋体"/>
          <w:b/>
          <w:bCs/>
          <w:sz w:val="28"/>
          <w:szCs w:val="28"/>
          <w:lang w:val="en-US" w:eastAsia="zh-CN"/>
        </w:rPr>
        <w:t>.《中小企业声明函》或《残疾人福利性单位声明函》或《监狱企业声明函》（如有）。</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center"/>
        <w:textAlignment w:val="auto"/>
        <w:rPr>
          <w:rFonts w:hint="eastAsia" w:ascii="仿宋" w:hAnsi="仿宋" w:eastAsia="仿宋" w:cs="仿宋"/>
          <w:b/>
          <w:color w:val="auto"/>
          <w:sz w:val="28"/>
          <w:szCs w:val="28"/>
        </w:rPr>
      </w:pPr>
      <w:bookmarkStart w:id="1" w:name="_Toc9923"/>
      <w:bookmarkStart w:id="2" w:name="_Toc12278"/>
      <w:bookmarkStart w:id="3" w:name="_Toc7334"/>
      <w:r>
        <w:rPr>
          <w:rFonts w:hint="eastAsia" w:ascii="仿宋" w:hAnsi="仿宋" w:eastAsia="仿宋" w:cs="仿宋"/>
          <w:b/>
          <w:color w:val="auto"/>
          <w:sz w:val="28"/>
          <w:szCs w:val="28"/>
        </w:rPr>
        <w:t>中小企业声明函（如有）</w:t>
      </w:r>
      <w:bookmarkEnd w:id="1"/>
      <w:bookmarkEnd w:id="2"/>
      <w:bookmarkEnd w:id="3"/>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本公司郑重声明， 根据《政府采购促进中小企业发展管理办法》（财库 （2020） 46 号）的规定， 本公司参加</w:t>
      </w:r>
      <w:r>
        <w:rPr>
          <w:rFonts w:hint="eastAsia" w:ascii="仿宋" w:hAnsi="仿宋" w:eastAsia="仿宋" w:cs="仿宋"/>
          <w:color w:val="auto"/>
          <w:sz w:val="28"/>
          <w:szCs w:val="28"/>
          <w:u w:val="single"/>
        </w:rPr>
        <w:t>（单位名称）</w:t>
      </w:r>
      <w:r>
        <w:rPr>
          <w:rFonts w:hint="eastAsia" w:ascii="仿宋" w:hAnsi="仿宋" w:eastAsia="仿宋" w:cs="仿宋"/>
          <w:color w:val="auto"/>
          <w:sz w:val="28"/>
          <w:szCs w:val="28"/>
        </w:rPr>
        <w:t>的</w:t>
      </w:r>
      <w:r>
        <w:rPr>
          <w:rFonts w:hint="eastAsia" w:ascii="仿宋" w:hAnsi="仿宋" w:eastAsia="仿宋" w:cs="仿宋"/>
          <w:color w:val="auto"/>
          <w:sz w:val="28"/>
          <w:szCs w:val="28"/>
          <w:u w:val="single"/>
        </w:rPr>
        <w:t>（项目名称）</w:t>
      </w:r>
      <w:r>
        <w:rPr>
          <w:rFonts w:hint="eastAsia" w:ascii="仿宋" w:hAnsi="仿宋" w:eastAsia="仿宋" w:cs="仿宋"/>
          <w:color w:val="auto"/>
          <w:sz w:val="28"/>
          <w:szCs w:val="28"/>
        </w:rPr>
        <w:t>采购活动，提供的货物全部由符合政策要求的中小企业制造。</w:t>
      </w:r>
      <w:r>
        <w:rPr>
          <w:rFonts w:hint="eastAsia" w:ascii="仿宋" w:hAnsi="仿宋" w:eastAsia="仿宋" w:cs="仿宋"/>
          <w:color w:val="auto"/>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相关企业的具体情况如下：</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u w:val="single"/>
        </w:rPr>
        <w:t>（</w:t>
      </w:r>
      <w:r>
        <w:rPr>
          <w:rFonts w:hint="eastAsia" w:ascii="仿宋" w:hAnsi="仿宋" w:eastAsia="仿宋" w:cs="仿宋"/>
          <w:color w:val="auto"/>
          <w:sz w:val="28"/>
          <w:szCs w:val="28"/>
          <w:u w:val="single"/>
          <w:lang w:val="en-US" w:eastAsia="zh-CN"/>
        </w:rPr>
        <w:t>标的</w:t>
      </w:r>
      <w:r>
        <w:rPr>
          <w:rFonts w:hint="eastAsia" w:ascii="仿宋" w:hAnsi="仿宋" w:eastAsia="仿宋" w:cs="仿宋"/>
          <w:color w:val="auto"/>
          <w:sz w:val="28"/>
          <w:szCs w:val="28"/>
          <w:u w:val="single"/>
        </w:rPr>
        <w:t>名称）</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采购文件中明确的所属行业）行业</w:t>
      </w:r>
      <w:r>
        <w:rPr>
          <w:rFonts w:hint="eastAsia" w:ascii="仿宋" w:hAnsi="仿宋" w:eastAsia="仿宋" w:cs="仿宋"/>
          <w:color w:val="auto"/>
          <w:sz w:val="28"/>
          <w:szCs w:val="28"/>
        </w:rPr>
        <w:t>；制造商为</w:t>
      </w:r>
      <w:r>
        <w:rPr>
          <w:rFonts w:hint="eastAsia" w:ascii="仿宋" w:hAnsi="仿宋" w:eastAsia="仿宋" w:cs="仿宋"/>
          <w:color w:val="auto"/>
          <w:sz w:val="28"/>
          <w:szCs w:val="28"/>
          <w:u w:val="single"/>
        </w:rPr>
        <w:t xml:space="preserve"> （企业名称）</w:t>
      </w:r>
      <w:r>
        <w:rPr>
          <w:rFonts w:hint="eastAsia" w:ascii="仿宋" w:hAnsi="仿宋" w:eastAsia="仿宋" w:cs="仿宋"/>
          <w:color w:val="auto"/>
          <w:sz w:val="28"/>
          <w:szCs w:val="28"/>
        </w:rPr>
        <w:t>，从业人员</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人， 营业收入为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万元，资产总额为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w:t>
      </w:r>
      <w:r>
        <w:rPr>
          <w:rFonts w:hint="eastAsia" w:ascii="仿宋" w:hAnsi="仿宋" w:eastAsia="仿宋" w:cs="仿宋"/>
          <w:color w:val="auto"/>
          <w:sz w:val="28"/>
          <w:szCs w:val="28"/>
          <w:vertAlign w:val="superscript"/>
        </w:rPr>
        <w:t>1</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（中型企业、 小型企业、 微型企业</w:t>
      </w:r>
      <w:r>
        <w:rPr>
          <w:rFonts w:hint="eastAsia" w:ascii="仿宋" w:hAnsi="仿宋" w:eastAsia="仿宋" w:cs="仿宋"/>
          <w:color w:val="auto"/>
          <w:sz w:val="28"/>
          <w:szCs w:val="28"/>
        </w:rPr>
        <w:t>）</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以上企业，不属于大型企业的分支机构，不存在控股股东为大企业的情形，也不存在与大企业的负责任人为同一人的情形。</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本企业对上述声明内容的真实性负责，如有虚假，将依法承担相应责任。</w:t>
      </w:r>
    </w:p>
    <w:p>
      <w:pPr>
        <w:pStyle w:val="14"/>
        <w:adjustRightInd w:val="0"/>
        <w:snapToGrid w:val="0"/>
        <w:spacing w:line="360" w:lineRule="auto"/>
        <w:rPr>
          <w:rFonts w:hint="eastAsia" w:ascii="仿宋" w:hAnsi="仿宋" w:eastAsia="仿宋" w:cs="仿宋"/>
          <w:color w:val="auto"/>
          <w:sz w:val="24"/>
          <w:szCs w:val="24"/>
        </w:rPr>
      </w:pPr>
    </w:p>
    <w:p>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w:t>
      </w:r>
      <w:r>
        <w:rPr>
          <w:rFonts w:hint="eastAsia" w:ascii="仿宋" w:hAnsi="仿宋" w:eastAsia="仿宋" w:cs="仿宋"/>
          <w:color w:val="auto"/>
          <w:sz w:val="28"/>
          <w:szCs w:val="28"/>
          <w:lang w:val="en-US" w:eastAsia="zh-CN"/>
        </w:rPr>
        <w:t>签字或盖章</w:t>
      </w:r>
      <w:r>
        <w:rPr>
          <w:rFonts w:hint="eastAsia" w:ascii="仿宋" w:hAnsi="仿宋" w:eastAsia="仿宋" w:cs="仿宋"/>
          <w:color w:val="auto"/>
          <w:sz w:val="28"/>
          <w:szCs w:val="28"/>
        </w:rPr>
        <w:t>）：</w:t>
      </w:r>
      <w:r>
        <w:rPr>
          <w:rFonts w:hint="eastAsia" w:ascii="仿宋" w:hAnsi="仿宋" w:eastAsia="仿宋" w:cs="仿宋"/>
          <w:color w:val="auto"/>
          <w:sz w:val="28"/>
          <w:szCs w:val="28"/>
          <w:u w:val="single"/>
        </w:rPr>
        <w:t xml:space="preserve">                        </w:t>
      </w:r>
    </w:p>
    <w:p>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供应商代表签字：</w:t>
      </w:r>
      <w:r>
        <w:rPr>
          <w:rFonts w:hint="eastAsia" w:ascii="仿宋" w:hAnsi="仿宋" w:eastAsia="仿宋" w:cs="仿宋"/>
          <w:color w:val="auto"/>
          <w:sz w:val="28"/>
          <w:szCs w:val="28"/>
          <w:u w:val="single"/>
        </w:rPr>
        <w:t xml:space="preserve">                           </w:t>
      </w:r>
    </w:p>
    <w:p>
      <w:pPr>
        <w:pStyle w:val="14"/>
        <w:adjustRightInd w:val="0"/>
        <w:snapToGrid w:val="0"/>
        <w:spacing w:line="360" w:lineRule="auto"/>
        <w:rPr>
          <w:rFonts w:hint="eastAsia" w:ascii="仿宋" w:hAnsi="仿宋" w:eastAsia="仿宋" w:cs="仿宋"/>
          <w:b/>
          <w:bCs/>
          <w:color w:val="auto"/>
          <w:sz w:val="28"/>
          <w:szCs w:val="28"/>
        </w:rPr>
      </w:pPr>
      <w:r>
        <w:rPr>
          <w:rFonts w:hint="eastAsia" w:ascii="仿宋" w:hAnsi="仿宋" w:eastAsia="仿宋" w:cs="仿宋"/>
          <w:color w:val="auto"/>
          <w:sz w:val="28"/>
          <w:szCs w:val="28"/>
        </w:rPr>
        <w:t>日期：   年   月   日</w:t>
      </w:r>
    </w:p>
    <w:p>
      <w:pPr>
        <w:pStyle w:val="5"/>
        <w:numPr>
          <w:ilvl w:val="0"/>
          <w:numId w:val="0"/>
        </w:numPr>
        <w:ind w:firstLine="482" w:firstLineChars="200"/>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从业人员、营业收入、资产总额填报上一年度数据，无上一年度数据的新成立企业可不填报。</w:t>
      </w:r>
      <w:r>
        <w:rPr>
          <w:rFonts w:hint="eastAsia" w:ascii="宋体" w:hAnsi="宋体" w:cs="宋体"/>
          <w:color w:val="auto"/>
          <w:sz w:val="24"/>
          <w:szCs w:val="24"/>
          <w:lang w:eastAsia="zh-CN"/>
        </w:rPr>
        <w:t>）</w:t>
      </w:r>
    </w:p>
    <w:p>
      <w:pPr>
        <w:pStyle w:val="15"/>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26663"/>
      <w:bookmarkStart w:id="5" w:name="_Toc25914"/>
      <w:bookmarkStart w:id="6" w:name="_Toc12194"/>
      <w:bookmarkStart w:id="7" w:name="_Toc27763"/>
      <w:bookmarkStart w:id="8" w:name="_Toc6320"/>
      <w:bookmarkStart w:id="9" w:name="_Toc8849"/>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pPr>
        <w:pStyle w:val="13"/>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3"/>
        <w:widowControl/>
        <w:ind w:firstLine="0"/>
        <w:rPr>
          <w:rFonts w:hint="eastAsia" w:ascii="宋体" w:hAnsi="宋体" w:eastAsia="宋体" w:cs="宋体"/>
          <w:color w:val="auto"/>
          <w:sz w:val="24"/>
          <w:szCs w:val="24"/>
        </w:rPr>
      </w:pPr>
    </w:p>
    <w:p>
      <w:pPr>
        <w:pStyle w:val="5"/>
        <w:numPr>
          <w:ilvl w:val="0"/>
          <w:numId w:val="0"/>
        </w:numPr>
        <w:jc w:val="both"/>
        <w:rPr>
          <w:rFonts w:hint="eastAsia"/>
          <w:lang w:val="en-US" w:eastAsia="zh-CN"/>
        </w:rPr>
      </w:pPr>
    </w:p>
    <w:p>
      <w:pPr>
        <w:pStyle w:val="5"/>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0" w:name="_Toc8907"/>
      <w:bookmarkStart w:id="11" w:name="_Toc26397"/>
      <w:bookmarkStart w:id="12" w:name="_Toc24071"/>
    </w:p>
    <w:p>
      <w:pPr>
        <w:pStyle w:val="2"/>
        <w:rPr>
          <w:rFonts w:hint="eastAsia"/>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ind w:firstLine="2409" w:firstLineChars="1000"/>
        <w:jc w:val="both"/>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pPr>
        <w:pStyle w:val="15"/>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5"/>
        <w:ind w:firstLine="0" w:firstLineChars="0"/>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4"/>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3"/>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.无串通行为的承诺函</w:t>
      </w:r>
    </w:p>
    <w:p>
      <w:pPr>
        <w:pStyle w:val="4"/>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jc w:val="center"/>
        <w:textAlignment w:val="auto"/>
        <w:rPr>
          <w:rFonts w:hint="eastAsia" w:ascii="仿宋" w:hAnsi="仿宋" w:eastAsia="仿宋" w:cs="仿宋"/>
          <w:b w:val="0"/>
          <w:bCs w:val="0"/>
          <w:color w:val="auto"/>
          <w:kern w:val="0"/>
          <w:sz w:val="24"/>
          <w:szCs w:val="24"/>
          <w:highlight w:val="none"/>
        </w:rPr>
      </w:pPr>
      <w:r>
        <w:rPr>
          <w:rFonts w:hint="eastAsia" w:ascii="仿宋" w:hAnsi="仿宋" w:eastAsia="仿宋" w:cs="仿宋"/>
          <w:sz w:val="24"/>
          <w:szCs w:val="24"/>
        </w:rPr>
        <w:t>承诺函</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sectPr>
      <w:pgSz w:w="11906" w:h="16838"/>
      <w:pgMar w:top="1474" w:right="1474" w:bottom="1474" w:left="1474"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altName w:val="仿宋_GB2312"/>
    <w:panose1 w:val="02010601030101010101"/>
    <w:charset w:val="86"/>
    <w:family w:val="auto"/>
    <w:pitch w:val="default"/>
    <w:sig w:usb0="00000000" w:usb1="00000000" w:usb2="00000000" w:usb3="00000000" w:csb0="00040000" w:csb1="00000000"/>
  </w:font>
  <w:font w:name="Segoe UI Emoji">
    <w:panose1 w:val="020B0502040204020203"/>
    <w:charset w:val="00"/>
    <w:family w:val="auto"/>
    <w:pitch w:val="default"/>
    <w:sig w:usb0="00000001" w:usb1="02000000" w:usb2="00000000" w:usb3="00000000" w:csb0="0000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57F83A"/>
    <w:multiLevelType w:val="singleLevel"/>
    <w:tmpl w:val="F657F83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4416D1A"/>
    <w:rsid w:val="04D277CD"/>
    <w:rsid w:val="092471B0"/>
    <w:rsid w:val="0CD60EEA"/>
    <w:rsid w:val="0CEE54C8"/>
    <w:rsid w:val="137D4A28"/>
    <w:rsid w:val="14AB44EF"/>
    <w:rsid w:val="18486BBA"/>
    <w:rsid w:val="1BA261C1"/>
    <w:rsid w:val="1DDD6FCB"/>
    <w:rsid w:val="20022706"/>
    <w:rsid w:val="224A136D"/>
    <w:rsid w:val="292F7978"/>
    <w:rsid w:val="29606563"/>
    <w:rsid w:val="2D795D59"/>
    <w:rsid w:val="328F2A57"/>
    <w:rsid w:val="46D1471D"/>
    <w:rsid w:val="48711144"/>
    <w:rsid w:val="48DD6EFD"/>
    <w:rsid w:val="4A2E6CCE"/>
    <w:rsid w:val="4ABE7791"/>
    <w:rsid w:val="4C6A2EA4"/>
    <w:rsid w:val="51284122"/>
    <w:rsid w:val="521D069E"/>
    <w:rsid w:val="524763D0"/>
    <w:rsid w:val="53B333B0"/>
    <w:rsid w:val="56D72364"/>
    <w:rsid w:val="58B53CD8"/>
    <w:rsid w:val="59CE44C9"/>
    <w:rsid w:val="5AF328A5"/>
    <w:rsid w:val="5F00140B"/>
    <w:rsid w:val="62392F01"/>
    <w:rsid w:val="68DF777A"/>
    <w:rsid w:val="6B8F6694"/>
    <w:rsid w:val="7086465D"/>
    <w:rsid w:val="79584E1A"/>
    <w:rsid w:val="7C820D0D"/>
    <w:rsid w:val="7CCC6DC0"/>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ody Text Indent 2"/>
    <w:basedOn w:val="1"/>
    <w:qFormat/>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138</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瑜仔</cp:lastModifiedBy>
  <dcterms:modified xsi:type="dcterms:W3CDTF">2025-12-24T07:19:09Z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