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AAE9B8">
      <w:pPr>
        <w:pStyle w:val="4"/>
        <w:pageBreakBefore w:val="0"/>
        <w:kinsoku/>
        <w:wordWrap/>
        <w:overflowPunct/>
        <w:topLinePunct w:val="0"/>
        <w:autoSpaceDE/>
        <w:autoSpaceDN/>
        <w:bidi w:val="0"/>
        <w:adjustRightInd/>
        <w:snapToGrid/>
        <w:spacing w:line="560" w:lineRule="exact"/>
        <w:ind w:left="0" w:leftChars="0" w:firstLine="0" w:firstLineChars="0"/>
        <w:rPr>
          <w:rFonts w:hint="eastAsia" w:ascii="黑体" w:hAnsi="黑体" w:eastAsia="黑体" w:cs="黑体"/>
          <w:b/>
          <w:bCs/>
          <w:sz w:val="52"/>
          <w:szCs w:val="52"/>
          <w:lang w:val="en-US" w:eastAsia="zh-CN"/>
        </w:rPr>
      </w:pPr>
      <w:r>
        <w:rPr>
          <w:rFonts w:hint="eastAsia" w:ascii="黑体" w:hAnsi="黑体" w:eastAsia="黑体" w:cs="黑体"/>
          <w:b/>
          <w:bCs/>
          <w:sz w:val="52"/>
          <w:szCs w:val="52"/>
          <w:lang w:val="en-US" w:eastAsia="zh-CN"/>
        </w:rPr>
        <w:t>附件</w:t>
      </w:r>
    </w:p>
    <w:p w14:paraId="55E74197">
      <w:pPr>
        <w:rPr>
          <w:rFonts w:hint="eastAsia"/>
          <w:lang w:val="en-US" w:eastAsia="zh-CN"/>
        </w:rPr>
      </w:pPr>
    </w:p>
    <w:p w14:paraId="73780816">
      <w:pPr>
        <w:jc w:val="center"/>
        <w:rPr>
          <w:rFonts w:hint="eastAsia" w:ascii="黑体" w:hAnsi="宋体" w:eastAsia="黑体" w:cs="黑体"/>
          <w:b w:val="0"/>
          <w:bCs w:val="0"/>
          <w:i w:val="0"/>
          <w:iCs w:val="0"/>
          <w:color w:val="auto"/>
          <w:kern w:val="0"/>
          <w:sz w:val="44"/>
          <w:szCs w:val="44"/>
          <w:u w:val="none"/>
          <w:lang w:val="en-US" w:eastAsia="zh-CN" w:bidi="ar"/>
        </w:rPr>
      </w:pPr>
      <w:r>
        <w:rPr>
          <w:rFonts w:hint="eastAsia" w:ascii="黑体" w:hAnsi="宋体" w:eastAsia="黑体" w:cs="黑体"/>
          <w:b w:val="0"/>
          <w:bCs w:val="0"/>
          <w:i w:val="0"/>
          <w:iCs w:val="0"/>
          <w:color w:val="auto"/>
          <w:kern w:val="0"/>
          <w:sz w:val="44"/>
          <w:szCs w:val="44"/>
          <w:u w:val="none"/>
          <w:lang w:val="en-US" w:eastAsia="zh-CN" w:bidi="ar"/>
        </w:rPr>
        <w:t>冷链系统技术参数及售后服务要求</w:t>
      </w:r>
    </w:p>
    <w:p w14:paraId="0384C041">
      <w:pPr>
        <w:jc w:val="center"/>
        <w:rPr>
          <w:rFonts w:hint="default" w:ascii="黑体" w:hAnsi="宋体" w:eastAsia="黑体" w:cs="黑体"/>
          <w:b w:val="0"/>
          <w:bCs w:val="0"/>
          <w:i w:val="0"/>
          <w:iCs w:val="0"/>
          <w:color w:val="auto"/>
          <w:kern w:val="0"/>
          <w:sz w:val="44"/>
          <w:szCs w:val="44"/>
          <w:u w:val="none"/>
          <w:lang w:val="en-US" w:eastAsia="zh-CN" w:bidi="ar"/>
        </w:rPr>
      </w:pPr>
    </w:p>
    <w:p w14:paraId="5AB3E0C4">
      <w:pPr>
        <w:numPr>
          <w:ilvl w:val="0"/>
          <w:numId w:val="1"/>
        </w:numPr>
        <w:spacing w:line="360" w:lineRule="auto"/>
        <w:ind w:left="425" w:leftChars="0" w:hanging="425" w:firstLineChars="0"/>
        <w:jc w:val="left"/>
        <w:rPr>
          <w:rFonts w:hint="eastAsia" w:ascii="仿宋" w:hAnsi="仿宋" w:eastAsia="仿宋" w:cs="仿宋"/>
          <w:b/>
          <w:bCs/>
          <w:i w:val="0"/>
          <w:iCs w:val="0"/>
          <w:color w:val="auto"/>
          <w:kern w:val="0"/>
          <w:sz w:val="28"/>
          <w:szCs w:val="28"/>
          <w:u w:val="none"/>
          <w:lang w:val="en-US" w:eastAsia="zh-CN" w:bidi="ar"/>
        </w:rPr>
      </w:pPr>
      <w:r>
        <w:rPr>
          <w:rFonts w:hint="eastAsia" w:ascii="仿宋" w:hAnsi="仿宋" w:eastAsia="仿宋" w:cs="仿宋"/>
          <w:b/>
          <w:bCs/>
          <w:color w:val="auto"/>
          <w:sz w:val="28"/>
          <w:szCs w:val="28"/>
          <w:vertAlign w:val="baseline"/>
          <w:lang w:val="en-US" w:eastAsia="zh-CN"/>
        </w:rPr>
        <w:t>技术框架</w:t>
      </w:r>
    </w:p>
    <w:p w14:paraId="4CD7B910">
      <w:pPr>
        <w:keepNext w:val="0"/>
        <w:keepLines w:val="0"/>
        <w:widowControl/>
        <w:numPr>
          <w:ilvl w:val="0"/>
          <w:numId w:val="2"/>
        </w:numPr>
        <w:suppressLineNumbers w:val="0"/>
        <w:spacing w:line="360" w:lineRule="auto"/>
        <w:ind w:left="425" w:leftChars="0" w:hanging="425" w:firstLineChars="0"/>
        <w:jc w:val="both"/>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平台24小时不间断工作，用于运行温湿度监控系统主程序并保存采集到的温湿度数据。</w:t>
      </w:r>
    </w:p>
    <w:p w14:paraId="4BF4471B">
      <w:pPr>
        <w:keepNext w:val="0"/>
        <w:keepLines w:val="0"/>
        <w:widowControl/>
        <w:numPr>
          <w:ilvl w:val="0"/>
          <w:numId w:val="2"/>
        </w:numPr>
        <w:suppressLineNumbers w:val="0"/>
        <w:spacing w:line="360" w:lineRule="auto"/>
        <w:ind w:left="425" w:leftChars="0" w:hanging="425" w:firstLineChars="0"/>
        <w:jc w:val="both"/>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平台采用B\S架构进行软件部署。</w:t>
      </w:r>
    </w:p>
    <w:p w14:paraId="50B02BC1">
      <w:pPr>
        <w:keepNext w:val="0"/>
        <w:keepLines w:val="0"/>
        <w:widowControl/>
        <w:numPr>
          <w:ilvl w:val="0"/>
          <w:numId w:val="2"/>
        </w:numPr>
        <w:suppressLineNumbers w:val="0"/>
        <w:spacing w:line="360" w:lineRule="auto"/>
        <w:ind w:left="425" w:leftChars="0" w:hanging="425" w:firstLineChars="0"/>
        <w:jc w:val="both"/>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平台支持iOS、安卓、微信小程序等移动平台，可随时了解设备运行状态。</w:t>
      </w:r>
    </w:p>
    <w:p w14:paraId="04AA4D20">
      <w:pPr>
        <w:keepNext w:val="0"/>
        <w:keepLines w:val="0"/>
        <w:widowControl/>
        <w:numPr>
          <w:ilvl w:val="0"/>
          <w:numId w:val="2"/>
        </w:numPr>
        <w:suppressLineNumbers w:val="0"/>
        <w:spacing w:line="360" w:lineRule="auto"/>
        <w:ind w:left="425" w:leftChars="0" w:hanging="425" w:firstLineChars="0"/>
        <w:jc w:val="both"/>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平台</w:t>
      </w:r>
      <w:r>
        <w:rPr>
          <w:rFonts w:hint="eastAsia" w:ascii="仿宋" w:hAnsi="仿宋" w:eastAsia="仿宋" w:cs="仿宋"/>
          <w:i w:val="0"/>
          <w:iCs w:val="0"/>
          <w:color w:val="auto"/>
          <w:kern w:val="0"/>
          <w:sz w:val="28"/>
          <w:szCs w:val="28"/>
          <w:u w:val="none"/>
          <w:lang w:val="en-GB" w:eastAsia="zh-CN" w:bidi="ar"/>
        </w:rPr>
        <w:t>界面显示语言为中文，</w:t>
      </w:r>
      <w:r>
        <w:rPr>
          <w:rFonts w:hint="eastAsia" w:ascii="仿宋" w:hAnsi="仿宋" w:eastAsia="仿宋" w:cs="仿宋"/>
          <w:i w:val="0"/>
          <w:iCs w:val="0"/>
          <w:color w:val="auto"/>
          <w:kern w:val="0"/>
          <w:sz w:val="28"/>
          <w:szCs w:val="28"/>
          <w:u w:val="none"/>
          <w:lang w:val="en-US" w:eastAsia="zh-CN" w:bidi="ar"/>
        </w:rPr>
        <w:t>时间显示格式为24小时制，</w:t>
      </w:r>
      <w:r>
        <w:rPr>
          <w:rFonts w:hint="eastAsia" w:ascii="仿宋" w:hAnsi="仿宋" w:eastAsia="仿宋" w:cs="仿宋"/>
          <w:i w:val="0"/>
          <w:iCs w:val="0"/>
          <w:color w:val="auto"/>
          <w:kern w:val="0"/>
          <w:sz w:val="28"/>
          <w:szCs w:val="28"/>
          <w:u w:val="none"/>
          <w:lang w:val="en-GB" w:eastAsia="zh-CN" w:bidi="ar"/>
        </w:rPr>
        <w:t>界面设计信息全面、人性化。通过主界面进入各个</w:t>
      </w:r>
      <w:r>
        <w:rPr>
          <w:rFonts w:hint="eastAsia" w:ascii="仿宋" w:hAnsi="仿宋" w:eastAsia="仿宋" w:cs="仿宋"/>
          <w:i w:val="0"/>
          <w:iCs w:val="0"/>
          <w:color w:val="auto"/>
          <w:kern w:val="0"/>
          <w:sz w:val="28"/>
          <w:szCs w:val="28"/>
          <w:u w:val="none"/>
          <w:lang w:val="en-US" w:eastAsia="zh-CN" w:bidi="ar"/>
        </w:rPr>
        <w:t>子</w:t>
      </w:r>
      <w:r>
        <w:rPr>
          <w:rFonts w:hint="eastAsia" w:ascii="仿宋" w:hAnsi="仿宋" w:eastAsia="仿宋" w:cs="仿宋"/>
          <w:i w:val="0"/>
          <w:iCs w:val="0"/>
          <w:color w:val="auto"/>
          <w:kern w:val="0"/>
          <w:sz w:val="28"/>
          <w:szCs w:val="28"/>
          <w:u w:val="none"/>
          <w:lang w:val="en-GB" w:eastAsia="zh-CN" w:bidi="ar"/>
        </w:rPr>
        <w:t>界面。</w:t>
      </w:r>
      <w:r>
        <w:rPr>
          <w:rFonts w:hint="eastAsia" w:ascii="仿宋" w:hAnsi="仿宋" w:eastAsia="仿宋" w:cs="仿宋"/>
          <w:i w:val="0"/>
          <w:iCs w:val="0"/>
          <w:color w:val="auto"/>
          <w:kern w:val="0"/>
          <w:sz w:val="28"/>
          <w:szCs w:val="28"/>
          <w:u w:val="none"/>
          <w:lang w:val="en-US" w:eastAsia="zh-CN" w:bidi="ar"/>
        </w:rPr>
        <w:t>如测点监控</w:t>
      </w:r>
      <w:r>
        <w:rPr>
          <w:rFonts w:hint="eastAsia" w:ascii="仿宋" w:hAnsi="仿宋" w:eastAsia="仿宋" w:cs="仿宋"/>
          <w:i w:val="0"/>
          <w:iCs w:val="0"/>
          <w:color w:val="auto"/>
          <w:kern w:val="0"/>
          <w:sz w:val="28"/>
          <w:szCs w:val="28"/>
          <w:u w:val="none"/>
          <w:lang w:val="en-GB" w:eastAsia="zh-CN" w:bidi="ar"/>
        </w:rPr>
        <w:t>界面、参数设置界面、</w:t>
      </w:r>
      <w:r>
        <w:rPr>
          <w:rFonts w:hint="eastAsia" w:ascii="仿宋" w:hAnsi="仿宋" w:eastAsia="仿宋" w:cs="仿宋"/>
          <w:i w:val="0"/>
          <w:iCs w:val="0"/>
          <w:color w:val="auto"/>
          <w:kern w:val="0"/>
          <w:sz w:val="28"/>
          <w:szCs w:val="28"/>
          <w:u w:val="none"/>
          <w:lang w:val="en-US" w:eastAsia="zh-CN" w:bidi="ar"/>
        </w:rPr>
        <w:t>趋势</w:t>
      </w:r>
      <w:r>
        <w:rPr>
          <w:rFonts w:hint="eastAsia" w:ascii="仿宋" w:hAnsi="仿宋" w:eastAsia="仿宋" w:cs="仿宋"/>
          <w:i w:val="0"/>
          <w:iCs w:val="0"/>
          <w:color w:val="auto"/>
          <w:kern w:val="0"/>
          <w:sz w:val="28"/>
          <w:szCs w:val="28"/>
          <w:u w:val="none"/>
          <w:lang w:val="en-GB" w:eastAsia="zh-CN" w:bidi="ar"/>
        </w:rPr>
        <w:t>曲线界面、报警记录界面等。</w:t>
      </w:r>
    </w:p>
    <w:p w14:paraId="6D6C180B">
      <w:pPr>
        <w:keepNext w:val="0"/>
        <w:keepLines w:val="0"/>
        <w:widowControl/>
        <w:numPr>
          <w:ilvl w:val="0"/>
          <w:numId w:val="2"/>
        </w:numPr>
        <w:suppressLineNumbers w:val="0"/>
        <w:spacing w:line="360" w:lineRule="auto"/>
        <w:ind w:left="425" w:leftChars="0" w:hanging="425" w:firstLineChars="0"/>
        <w:jc w:val="both"/>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断电或其他情况导致服务器重启后，软件可自动运行启动，无需人为干预。</w:t>
      </w:r>
    </w:p>
    <w:p w14:paraId="05E15640">
      <w:pPr>
        <w:keepNext w:val="0"/>
        <w:keepLines w:val="0"/>
        <w:widowControl/>
        <w:numPr>
          <w:ilvl w:val="0"/>
          <w:numId w:val="2"/>
        </w:numPr>
        <w:suppressLineNumbers w:val="0"/>
        <w:spacing w:line="360" w:lineRule="auto"/>
        <w:ind w:left="425" w:leftChars="0" w:hanging="425" w:firstLineChars="0"/>
        <w:jc w:val="both"/>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平台部署需采用云平台模式，云端资源终身免费。</w:t>
      </w:r>
    </w:p>
    <w:p w14:paraId="5649D3A1">
      <w:pPr>
        <w:keepNext w:val="0"/>
        <w:keepLines w:val="0"/>
        <w:widowControl/>
        <w:numPr>
          <w:ilvl w:val="0"/>
          <w:numId w:val="2"/>
        </w:numPr>
        <w:suppressLineNumbers w:val="0"/>
        <w:spacing w:line="360" w:lineRule="auto"/>
        <w:ind w:left="425" w:leftChars="0" w:hanging="425" w:firstLineChars="0"/>
        <w:jc w:val="both"/>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设备采用4g网络接入，同时提供终身免费流量。</w:t>
      </w:r>
    </w:p>
    <w:p w14:paraId="41B9C26C">
      <w:pPr>
        <w:numPr>
          <w:ilvl w:val="0"/>
          <w:numId w:val="1"/>
        </w:numPr>
        <w:spacing w:line="360" w:lineRule="auto"/>
        <w:ind w:left="425" w:leftChars="0" w:hanging="425" w:firstLineChars="0"/>
        <w:jc w:val="left"/>
        <w:rPr>
          <w:rFonts w:hint="eastAsia" w:ascii="仿宋" w:hAnsi="仿宋" w:eastAsia="仿宋" w:cs="仿宋"/>
          <w:b/>
          <w:bCs/>
          <w:color w:val="auto"/>
          <w:sz w:val="28"/>
          <w:szCs w:val="28"/>
          <w:vertAlign w:val="baseline"/>
          <w:lang w:val="en-US" w:eastAsia="zh-CN"/>
        </w:rPr>
      </w:pPr>
      <w:r>
        <w:rPr>
          <w:rFonts w:hint="eastAsia" w:ascii="仿宋" w:hAnsi="仿宋" w:eastAsia="仿宋" w:cs="仿宋"/>
          <w:b/>
          <w:bCs/>
          <w:color w:val="auto"/>
          <w:sz w:val="28"/>
          <w:szCs w:val="28"/>
          <w:vertAlign w:val="baseline"/>
          <w:lang w:val="en-US" w:eastAsia="zh-CN"/>
        </w:rPr>
        <w:t>设备管理</w:t>
      </w:r>
    </w:p>
    <w:p w14:paraId="18926421">
      <w:pPr>
        <w:keepNext w:val="0"/>
        <w:keepLines w:val="0"/>
        <w:widowControl/>
        <w:numPr>
          <w:ilvl w:val="0"/>
          <w:numId w:val="3"/>
        </w:numPr>
        <w:suppressLineNumbers w:val="0"/>
        <w:spacing w:line="360" w:lineRule="auto"/>
        <w:ind w:left="425" w:leftChars="0" w:hanging="425" w:firstLineChars="0"/>
        <w:jc w:val="both"/>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冷链采集克隆：平台具备采集克隆功能，通过生成克隆采集释放正常采集，可实现模块绑定多个设备后的数据按照不同设备单独管理和存档。</w:t>
      </w:r>
    </w:p>
    <w:p w14:paraId="579A276A">
      <w:pPr>
        <w:keepNext w:val="0"/>
        <w:keepLines w:val="0"/>
        <w:widowControl/>
        <w:numPr>
          <w:ilvl w:val="0"/>
          <w:numId w:val="3"/>
        </w:numPr>
        <w:suppressLineNumbers w:val="0"/>
        <w:spacing w:line="360" w:lineRule="auto"/>
        <w:ind w:left="425" w:leftChars="0" w:hanging="425" w:firstLineChars="0"/>
        <w:jc w:val="both"/>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更换冷链采集：支持随时对监测的冷链设备进行更换和新增，并保留被更换设备的历史数据。</w:t>
      </w:r>
    </w:p>
    <w:p w14:paraId="5812E203">
      <w:pPr>
        <w:keepNext w:val="0"/>
        <w:keepLines w:val="0"/>
        <w:widowControl/>
        <w:numPr>
          <w:ilvl w:val="0"/>
          <w:numId w:val="3"/>
        </w:numPr>
        <w:suppressLineNumbers w:val="0"/>
        <w:spacing w:line="360" w:lineRule="auto"/>
        <w:ind w:left="425" w:leftChars="0" w:hanging="425" w:firstLineChars="0"/>
        <w:jc w:val="both"/>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设备系统化管理：包含设备隶属关系、设备权限、设备类型、设备编号、设备位置、设备名称等信息的集中管理。能够实时展示设备当前温湿度情况、运行状态和设备故障等信息。</w:t>
      </w:r>
    </w:p>
    <w:p w14:paraId="3B2329B8">
      <w:pPr>
        <w:keepNext w:val="0"/>
        <w:keepLines w:val="0"/>
        <w:widowControl/>
        <w:numPr>
          <w:ilvl w:val="0"/>
          <w:numId w:val="3"/>
        </w:numPr>
        <w:suppressLineNumbers w:val="0"/>
        <w:spacing w:line="360" w:lineRule="auto"/>
        <w:ind w:left="425" w:leftChars="0" w:hanging="425" w:firstLineChars="0"/>
        <w:jc w:val="both"/>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采集间隔设置：支持自定义正常采集频率和报警采集频率。参数设置界面，支持根据需要分别设定不同监测点的数据上传间隔，采集间隔支持1分钟到24小时，可单独设置超标后数据记录</w:t>
      </w:r>
      <w:r>
        <w:rPr>
          <w:rFonts w:hint="eastAsia" w:ascii="仿宋" w:hAnsi="仿宋" w:eastAsia="仿宋" w:cs="仿宋"/>
          <w:i w:val="0"/>
          <w:iCs w:val="0"/>
          <w:color w:val="auto"/>
          <w:kern w:val="0"/>
          <w:sz w:val="28"/>
          <w:szCs w:val="28"/>
          <w:highlight w:val="none"/>
          <w:u w:val="none"/>
          <w:lang w:val="en-US" w:eastAsia="zh-CN" w:bidi="ar"/>
        </w:rPr>
        <w:t>间隔（提供参数设置界面）。</w:t>
      </w:r>
    </w:p>
    <w:p w14:paraId="5090BDA6">
      <w:pPr>
        <w:keepNext w:val="0"/>
        <w:keepLines w:val="0"/>
        <w:widowControl/>
        <w:numPr>
          <w:ilvl w:val="0"/>
          <w:numId w:val="3"/>
        </w:numPr>
        <w:suppressLineNumbers w:val="0"/>
        <w:spacing w:line="360" w:lineRule="auto"/>
        <w:ind w:left="425" w:leftChars="0" w:hanging="425" w:firstLineChars="0"/>
        <w:jc w:val="both"/>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设备状态管理：冰箱设备出现问题时，平台可自由设置设备状态为维修或闲置，关闭温度记录或报警功能，满足管理需求。</w:t>
      </w:r>
    </w:p>
    <w:p w14:paraId="4309096D">
      <w:pPr>
        <w:numPr>
          <w:ilvl w:val="0"/>
          <w:numId w:val="1"/>
        </w:numPr>
        <w:spacing w:line="360" w:lineRule="auto"/>
        <w:ind w:left="425" w:leftChars="0" w:hanging="425" w:firstLineChars="0"/>
        <w:jc w:val="left"/>
        <w:rPr>
          <w:rFonts w:hint="eastAsia" w:ascii="仿宋" w:hAnsi="仿宋" w:eastAsia="仿宋" w:cs="仿宋"/>
          <w:b/>
          <w:bCs/>
          <w:color w:val="auto"/>
          <w:sz w:val="28"/>
          <w:szCs w:val="28"/>
          <w:vertAlign w:val="baseline"/>
          <w:lang w:val="en-US" w:eastAsia="zh-CN"/>
        </w:rPr>
      </w:pPr>
      <w:r>
        <w:rPr>
          <w:rFonts w:hint="eastAsia" w:ascii="仿宋" w:hAnsi="仿宋" w:eastAsia="仿宋" w:cs="仿宋"/>
          <w:b/>
          <w:bCs/>
          <w:color w:val="auto"/>
          <w:sz w:val="28"/>
          <w:szCs w:val="28"/>
          <w:vertAlign w:val="baseline"/>
          <w:lang w:val="en-US" w:eastAsia="zh-CN"/>
        </w:rPr>
        <w:t>数据备份和还原</w:t>
      </w:r>
    </w:p>
    <w:p w14:paraId="1025DC44">
      <w:pPr>
        <w:keepNext w:val="0"/>
        <w:keepLines w:val="0"/>
        <w:widowControl/>
        <w:numPr>
          <w:ilvl w:val="0"/>
          <w:numId w:val="4"/>
        </w:numPr>
        <w:suppressLineNumbers w:val="0"/>
        <w:spacing w:line="360" w:lineRule="auto"/>
        <w:ind w:left="425" w:leftChars="0" w:hanging="425" w:firstLineChars="0"/>
        <w:jc w:val="both"/>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平台具备数据存储功能，支持动态扩展，可根据用户存储时长需求动态配置。</w:t>
      </w:r>
    </w:p>
    <w:p w14:paraId="458633AC">
      <w:pPr>
        <w:keepNext w:val="0"/>
        <w:keepLines w:val="0"/>
        <w:widowControl/>
        <w:numPr>
          <w:ilvl w:val="0"/>
          <w:numId w:val="4"/>
        </w:numPr>
        <w:suppressLineNumbers w:val="0"/>
        <w:spacing w:line="360" w:lineRule="auto"/>
        <w:ind w:left="425" w:leftChars="0" w:hanging="425" w:firstLineChars="0"/>
        <w:jc w:val="both"/>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数据库需支持自动备份，备份数据也应存储于云平台。备份策略可以根据用户需求进行配置，并具备系统灾难恢复操作指导及相关备份程序，系统管理员可在系统崩溃时依此完成数据备份及还原工作、备份数据可以通过可移动介质至异地存储。因软件自身缺陷造成系统无法正常运行时，免费提供系统升级和相应的服务。</w:t>
      </w:r>
    </w:p>
    <w:p w14:paraId="63FAF9B6">
      <w:pPr>
        <w:numPr>
          <w:ilvl w:val="0"/>
          <w:numId w:val="1"/>
        </w:numPr>
        <w:spacing w:line="360" w:lineRule="auto"/>
        <w:ind w:left="425" w:leftChars="0" w:hanging="425" w:firstLineChars="0"/>
        <w:jc w:val="left"/>
        <w:rPr>
          <w:rFonts w:hint="eastAsia" w:ascii="仿宋" w:hAnsi="仿宋" w:eastAsia="仿宋" w:cs="仿宋"/>
          <w:b/>
          <w:bCs/>
          <w:color w:val="auto"/>
          <w:sz w:val="28"/>
          <w:szCs w:val="28"/>
          <w:vertAlign w:val="baseline"/>
          <w:lang w:val="en-US" w:eastAsia="zh-CN"/>
        </w:rPr>
      </w:pPr>
      <w:r>
        <w:rPr>
          <w:rFonts w:hint="eastAsia" w:ascii="仿宋" w:hAnsi="仿宋" w:eastAsia="仿宋" w:cs="仿宋"/>
          <w:b/>
          <w:bCs/>
          <w:color w:val="auto"/>
          <w:sz w:val="28"/>
          <w:szCs w:val="28"/>
          <w:vertAlign w:val="baseline"/>
          <w:lang w:val="en-US" w:eastAsia="zh-CN"/>
        </w:rPr>
        <w:t>数据导出备份</w:t>
      </w:r>
    </w:p>
    <w:p w14:paraId="438C9E4F">
      <w:pPr>
        <w:keepNext w:val="0"/>
        <w:keepLines w:val="0"/>
        <w:widowControl/>
        <w:numPr>
          <w:ilvl w:val="0"/>
          <w:numId w:val="5"/>
        </w:numPr>
        <w:suppressLineNumbers w:val="0"/>
        <w:spacing w:line="360" w:lineRule="auto"/>
        <w:ind w:left="425" w:leftChars="0" w:hanging="425" w:firstLineChars="0"/>
        <w:jc w:val="both"/>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平台支持将全部设备历史数据导出至Excel或PDF文档中，也可导出设备运行曲线。</w:t>
      </w:r>
    </w:p>
    <w:p w14:paraId="7AEB9A3E">
      <w:pPr>
        <w:keepNext w:val="0"/>
        <w:keepLines w:val="0"/>
        <w:widowControl/>
        <w:numPr>
          <w:ilvl w:val="0"/>
          <w:numId w:val="5"/>
        </w:numPr>
        <w:suppressLineNumbers w:val="0"/>
        <w:spacing w:line="360" w:lineRule="auto"/>
        <w:ind w:left="425" w:leftChars="0" w:hanging="425" w:firstLineChars="0"/>
        <w:jc w:val="both"/>
        <w:textAlignment w:val="center"/>
        <w:rPr>
          <w:rFonts w:hint="default"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平台支持按照管理要求导出整点数据（整点时间可自定义），文件格式支持Excel和PDF。</w:t>
      </w:r>
    </w:p>
    <w:p w14:paraId="116235B0">
      <w:pPr>
        <w:keepNext w:val="0"/>
        <w:keepLines w:val="0"/>
        <w:widowControl/>
        <w:numPr>
          <w:ilvl w:val="0"/>
          <w:numId w:val="5"/>
        </w:numPr>
        <w:suppressLineNumbers w:val="0"/>
        <w:spacing w:line="360" w:lineRule="auto"/>
        <w:ind w:left="425" w:leftChars="0" w:hanging="425" w:firstLineChars="0"/>
        <w:jc w:val="both"/>
        <w:textAlignment w:val="center"/>
        <w:rPr>
          <w:rFonts w:hint="default"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平台支持按设备单独生成设备运行PDF报告，可记录设备基础信息、数据数量、最大值、最小值、平均值、MKT温度、报警次数、报警持续时间、详细数据记录、报警记录等信息。</w:t>
      </w:r>
    </w:p>
    <w:p w14:paraId="0FE163F4">
      <w:pPr>
        <w:keepNext w:val="0"/>
        <w:keepLines w:val="0"/>
        <w:widowControl/>
        <w:numPr>
          <w:ilvl w:val="0"/>
          <w:numId w:val="5"/>
        </w:numPr>
        <w:suppressLineNumbers w:val="0"/>
        <w:spacing w:line="360" w:lineRule="auto"/>
        <w:ind w:left="425" w:leftChars="0" w:hanging="425" w:firstLineChars="0"/>
        <w:jc w:val="both"/>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订阅报告：平台可以按照日、周、月维度自动生成以上报告类型，并自动发送至客户电子邮箱中，实现自动电子备份。</w:t>
      </w:r>
    </w:p>
    <w:p w14:paraId="570A2A32">
      <w:pPr>
        <w:numPr>
          <w:ilvl w:val="0"/>
          <w:numId w:val="1"/>
        </w:numPr>
        <w:spacing w:line="360" w:lineRule="auto"/>
        <w:ind w:left="425" w:leftChars="0" w:hanging="425" w:firstLineChars="0"/>
        <w:jc w:val="left"/>
        <w:rPr>
          <w:rFonts w:hint="eastAsia" w:ascii="仿宋" w:hAnsi="仿宋" w:eastAsia="仿宋" w:cs="仿宋"/>
          <w:b/>
          <w:bCs/>
          <w:color w:val="auto"/>
          <w:sz w:val="28"/>
          <w:szCs w:val="28"/>
          <w:vertAlign w:val="baseline"/>
          <w:lang w:val="en-US" w:eastAsia="zh-CN"/>
        </w:rPr>
      </w:pPr>
      <w:r>
        <w:rPr>
          <w:rFonts w:hint="eastAsia" w:ascii="仿宋" w:hAnsi="仿宋" w:eastAsia="仿宋" w:cs="仿宋"/>
          <w:b/>
          <w:bCs/>
          <w:color w:val="auto"/>
          <w:sz w:val="28"/>
          <w:szCs w:val="28"/>
          <w:vertAlign w:val="baseline"/>
          <w:lang w:val="en-US" w:eastAsia="zh-CN"/>
        </w:rPr>
        <w:t>实时监控</w:t>
      </w:r>
    </w:p>
    <w:p w14:paraId="01777833">
      <w:pPr>
        <w:keepNext w:val="0"/>
        <w:keepLines w:val="0"/>
        <w:widowControl/>
        <w:numPr>
          <w:ilvl w:val="0"/>
          <w:numId w:val="6"/>
        </w:numPr>
        <w:suppressLineNumbers w:val="0"/>
        <w:spacing w:line="360" w:lineRule="auto"/>
        <w:ind w:left="425" w:leftChars="0" w:hanging="425" w:firstLineChars="0"/>
        <w:jc w:val="both"/>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实时数据展示：平台具备所有设备温度等数据的实时监控一览功能，便于操作人员直观查看。平台支持定时刷新和滚动展示。</w:t>
      </w:r>
    </w:p>
    <w:p w14:paraId="4BB4A406">
      <w:pPr>
        <w:keepNext w:val="0"/>
        <w:keepLines w:val="0"/>
        <w:widowControl/>
        <w:numPr>
          <w:ilvl w:val="0"/>
          <w:numId w:val="6"/>
        </w:numPr>
        <w:suppressLineNumbers w:val="0"/>
        <w:spacing w:line="360" w:lineRule="auto"/>
        <w:ind w:left="425" w:leftChars="0" w:hanging="425" w:firstLineChars="0"/>
        <w:jc w:val="both"/>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历史数据展示：系统</w:t>
      </w:r>
      <w:r>
        <w:rPr>
          <w:rFonts w:hint="eastAsia" w:ascii="仿宋" w:hAnsi="仿宋" w:eastAsia="仿宋" w:cs="仿宋"/>
          <w:i w:val="0"/>
          <w:iCs w:val="0"/>
          <w:color w:val="auto"/>
          <w:kern w:val="0"/>
          <w:sz w:val="28"/>
          <w:szCs w:val="28"/>
          <w:u w:val="none"/>
          <w:lang w:val="en-GB" w:eastAsia="zh-CN" w:bidi="ar"/>
        </w:rPr>
        <w:t>支持多条件查询</w:t>
      </w:r>
      <w:r>
        <w:rPr>
          <w:rFonts w:hint="eastAsia" w:ascii="仿宋" w:hAnsi="仿宋" w:eastAsia="仿宋" w:cs="仿宋"/>
          <w:i w:val="0"/>
          <w:iCs w:val="0"/>
          <w:color w:val="auto"/>
          <w:kern w:val="0"/>
          <w:sz w:val="28"/>
          <w:szCs w:val="28"/>
          <w:u w:val="none"/>
          <w:lang w:val="en-US" w:eastAsia="zh-CN" w:bidi="ar"/>
        </w:rPr>
        <w:t>温湿度、液位等</w:t>
      </w:r>
      <w:r>
        <w:rPr>
          <w:rFonts w:hint="eastAsia" w:ascii="仿宋" w:hAnsi="仿宋" w:eastAsia="仿宋" w:cs="仿宋"/>
          <w:i w:val="0"/>
          <w:iCs w:val="0"/>
          <w:color w:val="auto"/>
          <w:kern w:val="0"/>
          <w:sz w:val="28"/>
          <w:szCs w:val="28"/>
          <w:u w:val="none"/>
          <w:lang w:val="en-GB" w:eastAsia="zh-CN" w:bidi="ar"/>
        </w:rPr>
        <w:t>数据，支持数据列表显示和曲线显示，</w:t>
      </w:r>
      <w:r>
        <w:rPr>
          <w:rFonts w:hint="eastAsia" w:ascii="仿宋" w:hAnsi="仿宋" w:eastAsia="仿宋" w:cs="仿宋"/>
          <w:i w:val="0"/>
          <w:iCs w:val="0"/>
          <w:color w:val="auto"/>
          <w:kern w:val="0"/>
          <w:sz w:val="28"/>
          <w:szCs w:val="28"/>
          <w:u w:val="none"/>
          <w:lang w:val="en-US" w:eastAsia="zh-CN" w:bidi="ar"/>
        </w:rPr>
        <w:t>曲线显示具备</w:t>
      </w:r>
      <w:r>
        <w:rPr>
          <w:rFonts w:hint="eastAsia" w:ascii="仿宋" w:hAnsi="仿宋" w:eastAsia="仿宋" w:cs="仿宋"/>
          <w:i w:val="0"/>
          <w:iCs w:val="0"/>
          <w:color w:val="auto"/>
          <w:kern w:val="0"/>
          <w:sz w:val="28"/>
          <w:szCs w:val="28"/>
          <w:u w:val="none"/>
          <w:lang w:val="en-GB" w:eastAsia="zh-CN" w:bidi="ar"/>
        </w:rPr>
        <w:t>显示报警超标线，缩放、</w:t>
      </w:r>
      <w:r>
        <w:rPr>
          <w:rFonts w:hint="eastAsia" w:ascii="仿宋" w:hAnsi="仿宋" w:eastAsia="仿宋" w:cs="仿宋"/>
          <w:i w:val="0"/>
          <w:iCs w:val="0"/>
          <w:color w:val="auto"/>
          <w:kern w:val="0"/>
          <w:sz w:val="28"/>
          <w:szCs w:val="28"/>
          <w:u w:val="none"/>
          <w:lang w:val="en-US" w:eastAsia="zh-CN" w:bidi="ar"/>
        </w:rPr>
        <w:t>按</w:t>
      </w:r>
      <w:r>
        <w:rPr>
          <w:rFonts w:hint="eastAsia" w:ascii="仿宋" w:hAnsi="仿宋" w:eastAsia="仿宋" w:cs="仿宋"/>
          <w:i w:val="0"/>
          <w:iCs w:val="0"/>
          <w:color w:val="auto"/>
          <w:kern w:val="0"/>
          <w:sz w:val="28"/>
          <w:szCs w:val="28"/>
          <w:u w:val="none"/>
          <w:lang w:val="en-GB" w:eastAsia="zh-CN" w:bidi="ar"/>
        </w:rPr>
        <w:t>时间</w:t>
      </w:r>
      <w:r>
        <w:rPr>
          <w:rFonts w:hint="eastAsia" w:ascii="仿宋" w:hAnsi="仿宋" w:eastAsia="仿宋" w:cs="仿宋"/>
          <w:i w:val="0"/>
          <w:iCs w:val="0"/>
          <w:color w:val="auto"/>
          <w:kern w:val="0"/>
          <w:sz w:val="28"/>
          <w:szCs w:val="28"/>
          <w:u w:val="none"/>
          <w:lang w:val="en-US" w:eastAsia="zh-CN" w:bidi="ar"/>
        </w:rPr>
        <w:t>段</w:t>
      </w:r>
      <w:r>
        <w:rPr>
          <w:rFonts w:hint="eastAsia" w:ascii="仿宋" w:hAnsi="仿宋" w:eastAsia="仿宋" w:cs="仿宋"/>
          <w:i w:val="0"/>
          <w:iCs w:val="0"/>
          <w:color w:val="auto"/>
          <w:kern w:val="0"/>
          <w:sz w:val="28"/>
          <w:szCs w:val="28"/>
          <w:u w:val="none"/>
          <w:lang w:val="en-GB" w:eastAsia="zh-CN" w:bidi="ar"/>
        </w:rPr>
        <w:t>查询等功能。</w:t>
      </w:r>
    </w:p>
    <w:p w14:paraId="199605B7">
      <w:pPr>
        <w:keepNext w:val="0"/>
        <w:keepLines w:val="0"/>
        <w:widowControl/>
        <w:numPr>
          <w:ilvl w:val="0"/>
          <w:numId w:val="6"/>
        </w:numPr>
        <w:suppressLineNumbers w:val="0"/>
        <w:spacing w:line="360" w:lineRule="auto"/>
        <w:ind w:left="425" w:leftChars="0" w:hanging="425" w:firstLineChars="0"/>
        <w:jc w:val="both"/>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数据分析：系统支持数据统计分析功能，可以选定某时间段内测点进行记录数据分析，至少包含最大值、最小值和平均值，方便从不同角度分析设备运行状态</w:t>
      </w:r>
    </w:p>
    <w:p w14:paraId="01079303">
      <w:pPr>
        <w:keepNext w:val="0"/>
        <w:keepLines w:val="0"/>
        <w:widowControl/>
        <w:numPr>
          <w:ilvl w:val="0"/>
          <w:numId w:val="6"/>
        </w:numPr>
        <w:suppressLineNumbers w:val="0"/>
        <w:spacing w:line="360" w:lineRule="auto"/>
        <w:ind w:left="425" w:leftChars="0" w:hanging="425" w:firstLineChars="0"/>
        <w:jc w:val="both"/>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平台可以汇总多条曲线在同一张图表上，以方便后期数据的查看以及对比</w:t>
      </w:r>
    </w:p>
    <w:p w14:paraId="52CE039E">
      <w:pPr>
        <w:keepNext w:val="0"/>
        <w:keepLines w:val="0"/>
        <w:widowControl/>
        <w:numPr>
          <w:ilvl w:val="0"/>
          <w:numId w:val="6"/>
        </w:numPr>
        <w:suppressLineNumbers w:val="0"/>
        <w:spacing w:line="360" w:lineRule="auto"/>
        <w:ind w:left="425" w:leftChars="0" w:hanging="425" w:firstLineChars="0"/>
        <w:jc w:val="both"/>
        <w:textAlignment w:val="center"/>
        <w:rPr>
          <w:rFonts w:hint="default"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大屏展示：平台支持通过大屏汇总展示设备运行状态和监控，实现整体管理</w:t>
      </w:r>
    </w:p>
    <w:p w14:paraId="4DD2C2EE">
      <w:pPr>
        <w:keepNext w:val="0"/>
        <w:keepLines w:val="0"/>
        <w:widowControl/>
        <w:numPr>
          <w:ilvl w:val="0"/>
          <w:numId w:val="6"/>
        </w:numPr>
        <w:suppressLineNumbers w:val="0"/>
        <w:spacing w:line="360" w:lineRule="auto"/>
        <w:ind w:left="425" w:leftChars="0" w:hanging="425" w:firstLineChars="0"/>
        <w:jc w:val="both"/>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地图展示：移动设备管理。实时查看各监控设备所在位置；能够还原移动轨迹，并进行动态展示。系统支持GIS展示，并能够逐级钻取展开到最小层级。</w:t>
      </w:r>
    </w:p>
    <w:p w14:paraId="557607FF">
      <w:pPr>
        <w:numPr>
          <w:ilvl w:val="0"/>
          <w:numId w:val="1"/>
        </w:numPr>
        <w:spacing w:line="360" w:lineRule="auto"/>
        <w:ind w:left="425" w:leftChars="0" w:hanging="425" w:firstLineChars="0"/>
        <w:jc w:val="left"/>
        <w:rPr>
          <w:rFonts w:hint="eastAsia" w:ascii="仿宋" w:hAnsi="仿宋" w:eastAsia="仿宋" w:cs="仿宋"/>
          <w:b/>
          <w:bCs/>
          <w:color w:val="auto"/>
          <w:sz w:val="28"/>
          <w:szCs w:val="28"/>
          <w:vertAlign w:val="baseline"/>
          <w:lang w:val="en-US" w:eastAsia="zh-CN"/>
        </w:rPr>
      </w:pPr>
      <w:r>
        <w:rPr>
          <w:rFonts w:hint="eastAsia" w:ascii="仿宋" w:hAnsi="仿宋" w:eastAsia="仿宋" w:cs="仿宋"/>
          <w:b/>
          <w:bCs/>
          <w:color w:val="auto"/>
          <w:sz w:val="28"/>
          <w:szCs w:val="28"/>
          <w:vertAlign w:val="baseline"/>
          <w:lang w:val="en-US" w:eastAsia="zh-CN"/>
        </w:rPr>
        <w:t>软件平台资格认证及服务</w:t>
      </w:r>
    </w:p>
    <w:p w14:paraId="14CD2401">
      <w:pPr>
        <w:keepNext w:val="0"/>
        <w:keepLines w:val="0"/>
        <w:widowControl/>
        <w:numPr>
          <w:ilvl w:val="0"/>
          <w:numId w:val="7"/>
        </w:numPr>
        <w:suppressLineNumbers w:val="0"/>
        <w:spacing w:line="360" w:lineRule="auto"/>
        <w:ind w:left="425" w:leftChars="0" w:hanging="425" w:firstLineChars="0"/>
        <w:jc w:val="both"/>
        <w:textAlignment w:val="center"/>
        <w:rPr>
          <w:rFonts w:hint="eastAsia" w:ascii="仿宋" w:hAnsi="仿宋" w:eastAsia="仿宋" w:cs="仿宋"/>
          <w:b w:val="0"/>
          <w:bCs w:val="0"/>
          <w:i w:val="0"/>
          <w:iCs w:val="0"/>
          <w:color w:val="auto"/>
          <w:kern w:val="0"/>
          <w:sz w:val="28"/>
          <w:szCs w:val="28"/>
          <w:u w:val="none"/>
          <w:lang w:val="en-US" w:eastAsia="zh-CN" w:bidi="ar"/>
        </w:rPr>
      </w:pPr>
      <w:r>
        <w:rPr>
          <w:rFonts w:hint="eastAsia" w:ascii="仿宋" w:hAnsi="仿宋" w:eastAsia="仿宋" w:cs="仿宋"/>
          <w:b w:val="0"/>
          <w:bCs w:val="0"/>
          <w:i w:val="0"/>
          <w:iCs w:val="0"/>
          <w:color w:val="auto"/>
          <w:kern w:val="0"/>
          <w:sz w:val="28"/>
          <w:szCs w:val="28"/>
          <w:u w:val="none"/>
          <w:lang w:val="en-US" w:eastAsia="zh-CN" w:bidi="ar"/>
        </w:rPr>
        <w:t>整套系统必须具备第三方评测机构出具的系统验收合格报告；</w:t>
      </w:r>
    </w:p>
    <w:p w14:paraId="14075D01">
      <w:pPr>
        <w:keepNext w:val="0"/>
        <w:keepLines w:val="0"/>
        <w:widowControl/>
        <w:numPr>
          <w:ilvl w:val="0"/>
          <w:numId w:val="7"/>
        </w:numPr>
        <w:suppressLineNumbers w:val="0"/>
        <w:spacing w:line="360" w:lineRule="auto"/>
        <w:ind w:left="425" w:leftChars="0" w:hanging="425" w:firstLineChars="0"/>
        <w:jc w:val="both"/>
        <w:textAlignment w:val="center"/>
        <w:rPr>
          <w:rFonts w:hint="eastAsia" w:ascii="仿宋" w:hAnsi="仿宋" w:eastAsia="仿宋" w:cs="仿宋"/>
          <w:b w:val="0"/>
          <w:bCs w:val="0"/>
          <w:i w:val="0"/>
          <w:iCs w:val="0"/>
          <w:color w:val="auto"/>
          <w:kern w:val="0"/>
          <w:sz w:val="28"/>
          <w:szCs w:val="28"/>
          <w:u w:val="none"/>
          <w:lang w:val="en-US" w:eastAsia="zh-CN" w:bidi="ar"/>
        </w:rPr>
      </w:pPr>
      <w:r>
        <w:rPr>
          <w:rFonts w:hint="eastAsia" w:ascii="仿宋" w:hAnsi="仿宋" w:eastAsia="仿宋" w:cs="仿宋"/>
          <w:b w:val="0"/>
          <w:bCs w:val="0"/>
          <w:i w:val="0"/>
          <w:iCs w:val="0"/>
          <w:color w:val="auto"/>
          <w:kern w:val="0"/>
          <w:sz w:val="28"/>
          <w:szCs w:val="28"/>
          <w:u w:val="none"/>
          <w:lang w:val="en-US" w:eastAsia="zh-CN" w:bidi="ar"/>
        </w:rPr>
        <w:t>软件具备国家版权局颁发的计算机软件著作权登记证书；</w:t>
      </w:r>
    </w:p>
    <w:p w14:paraId="504FE98B">
      <w:pPr>
        <w:keepNext w:val="0"/>
        <w:keepLines w:val="0"/>
        <w:widowControl/>
        <w:numPr>
          <w:ilvl w:val="0"/>
          <w:numId w:val="7"/>
        </w:numPr>
        <w:suppressLineNumbers w:val="0"/>
        <w:spacing w:line="360" w:lineRule="auto"/>
        <w:ind w:left="425" w:leftChars="0" w:hanging="425" w:firstLineChars="0"/>
        <w:jc w:val="both"/>
        <w:textAlignment w:val="center"/>
        <w:rPr>
          <w:rFonts w:hint="eastAsia" w:ascii="仿宋" w:hAnsi="仿宋" w:eastAsia="仿宋" w:cs="仿宋"/>
          <w:b w:val="0"/>
          <w:bCs w:val="0"/>
          <w:i w:val="0"/>
          <w:iCs w:val="0"/>
          <w:color w:val="auto"/>
          <w:sz w:val="28"/>
          <w:szCs w:val="28"/>
          <w:highlight w:val="none"/>
          <w:u w:val="none"/>
        </w:rPr>
      </w:pPr>
      <w:r>
        <w:rPr>
          <w:rFonts w:hint="eastAsia" w:ascii="仿宋" w:hAnsi="仿宋" w:eastAsia="仿宋" w:cs="仿宋"/>
          <w:b w:val="0"/>
          <w:bCs w:val="0"/>
          <w:i w:val="0"/>
          <w:iCs w:val="0"/>
          <w:color w:val="auto"/>
          <w:kern w:val="0"/>
          <w:sz w:val="28"/>
          <w:szCs w:val="28"/>
          <w:u w:val="none"/>
          <w:lang w:val="en-US" w:eastAsia="zh-CN" w:bidi="ar"/>
        </w:rPr>
        <w:t>软件具备公安部颁发的三级等保资质</w:t>
      </w:r>
    </w:p>
    <w:p w14:paraId="289DE6E8">
      <w:pPr>
        <w:numPr>
          <w:ilvl w:val="0"/>
          <w:numId w:val="1"/>
        </w:numPr>
        <w:spacing w:line="360" w:lineRule="auto"/>
        <w:ind w:left="425" w:leftChars="0" w:hanging="425" w:firstLineChars="0"/>
        <w:jc w:val="left"/>
        <w:rPr>
          <w:rFonts w:hint="default" w:ascii="仿宋" w:hAnsi="仿宋" w:eastAsia="仿宋" w:cs="仿宋"/>
          <w:b/>
          <w:bCs/>
          <w:color w:val="auto"/>
          <w:sz w:val="28"/>
          <w:szCs w:val="28"/>
          <w:vertAlign w:val="baseline"/>
          <w:lang w:val="en-US" w:eastAsia="zh-CN"/>
        </w:rPr>
      </w:pPr>
      <w:r>
        <w:rPr>
          <w:rFonts w:hint="eastAsia" w:ascii="仿宋" w:hAnsi="仿宋" w:eastAsia="仿宋" w:cs="仿宋"/>
          <w:b/>
          <w:bCs/>
          <w:color w:val="auto"/>
          <w:sz w:val="28"/>
          <w:szCs w:val="28"/>
          <w:vertAlign w:val="baseline"/>
          <w:lang w:val="en-US" w:eastAsia="zh-CN"/>
        </w:rPr>
        <w:t>售后承诺及其他要求</w:t>
      </w:r>
    </w:p>
    <w:p w14:paraId="39460238">
      <w:pPr>
        <w:keepNext w:val="0"/>
        <w:keepLines w:val="0"/>
        <w:pageBreakBefore w:val="0"/>
        <w:widowControl w:val="0"/>
        <w:numPr>
          <w:ilvl w:val="0"/>
          <w:numId w:val="8"/>
        </w:numPr>
        <w:kinsoku/>
        <w:wordWrap/>
        <w:overflowPunct/>
        <w:topLinePunct w:val="0"/>
        <w:autoSpaceDE/>
        <w:autoSpaceDN/>
        <w:bidi w:val="0"/>
        <w:adjustRightInd/>
        <w:snapToGrid/>
        <w:spacing w:line="360" w:lineRule="auto"/>
        <w:ind w:left="425" w:leftChars="0" w:hanging="425" w:firstLineChars="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质保期限：自验收合格之日起，提供</w:t>
      </w:r>
      <w:r>
        <w:rPr>
          <w:rFonts w:hint="eastAsia" w:ascii="仿宋" w:hAnsi="仿宋" w:eastAsia="仿宋" w:cs="仿宋"/>
          <w:color w:val="auto"/>
          <w:sz w:val="28"/>
          <w:szCs w:val="28"/>
          <w:lang w:val="en-US" w:eastAsia="zh-CN"/>
        </w:rPr>
        <w:t>硬件3</w:t>
      </w:r>
      <w:r>
        <w:rPr>
          <w:rFonts w:hint="eastAsia" w:ascii="仿宋" w:hAnsi="仿宋" w:eastAsia="仿宋" w:cs="仿宋"/>
          <w:color w:val="auto"/>
          <w:sz w:val="28"/>
          <w:szCs w:val="28"/>
        </w:rPr>
        <w:t xml:space="preserve"> 年</w:t>
      </w:r>
      <w:r>
        <w:rPr>
          <w:rFonts w:hint="eastAsia" w:ascii="仿宋" w:hAnsi="仿宋" w:eastAsia="仿宋" w:cs="仿宋"/>
          <w:color w:val="auto"/>
          <w:sz w:val="28"/>
          <w:szCs w:val="28"/>
          <w:lang w:val="en-US" w:eastAsia="zh-CN"/>
        </w:rPr>
        <w:t>、软件8年</w:t>
      </w:r>
      <w:r>
        <w:rPr>
          <w:rFonts w:hint="eastAsia" w:ascii="仿宋" w:hAnsi="仿宋" w:eastAsia="仿宋" w:cs="仿宋"/>
          <w:color w:val="auto"/>
          <w:sz w:val="28"/>
          <w:szCs w:val="28"/>
        </w:rPr>
        <w:t>的免费质保服务。质保期内，若因产品质量问题出现故障，</w:t>
      </w:r>
      <w:r>
        <w:rPr>
          <w:rFonts w:hint="eastAsia" w:ascii="仿宋" w:hAnsi="仿宋" w:eastAsia="仿宋" w:cs="仿宋"/>
          <w:color w:val="auto"/>
          <w:sz w:val="28"/>
          <w:szCs w:val="28"/>
          <w:lang w:val="en-US" w:eastAsia="zh-CN"/>
        </w:rPr>
        <w:t>售后人员</w:t>
      </w:r>
      <w:r>
        <w:rPr>
          <w:rFonts w:hint="eastAsia" w:ascii="仿宋" w:hAnsi="仿宋" w:eastAsia="仿宋" w:cs="仿宋"/>
          <w:color w:val="auto"/>
          <w:sz w:val="28"/>
          <w:szCs w:val="28"/>
        </w:rPr>
        <w:t>即刻响应，免费提供维修、零部件更换等服务。</w:t>
      </w:r>
    </w:p>
    <w:p w14:paraId="0E526CD1">
      <w:pPr>
        <w:keepNext w:val="0"/>
        <w:keepLines w:val="0"/>
        <w:pageBreakBefore w:val="0"/>
        <w:widowControl w:val="0"/>
        <w:numPr>
          <w:ilvl w:val="0"/>
          <w:numId w:val="8"/>
        </w:numPr>
        <w:kinsoku/>
        <w:wordWrap/>
        <w:overflowPunct/>
        <w:topLinePunct w:val="0"/>
        <w:autoSpaceDE/>
        <w:autoSpaceDN/>
        <w:bidi w:val="0"/>
        <w:adjustRightInd/>
        <w:snapToGrid/>
        <w:spacing w:line="360" w:lineRule="auto"/>
        <w:ind w:left="425" w:leftChars="0" w:hanging="425" w:firstLineChars="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响应时间：收到售后需求后，</w:t>
      </w:r>
      <w:r>
        <w:rPr>
          <w:rFonts w:hint="eastAsia" w:ascii="仿宋" w:hAnsi="仿宋" w:eastAsia="仿宋" w:cs="仿宋"/>
          <w:color w:val="auto"/>
          <w:sz w:val="28"/>
          <w:szCs w:val="28"/>
          <w:lang w:val="en-US" w:eastAsia="zh-CN"/>
        </w:rPr>
        <w:t>在1</w:t>
      </w:r>
      <w:r>
        <w:rPr>
          <w:rFonts w:hint="eastAsia" w:ascii="仿宋" w:hAnsi="仿宋" w:eastAsia="仿宋" w:cs="仿宋"/>
          <w:color w:val="auto"/>
          <w:sz w:val="28"/>
          <w:szCs w:val="28"/>
        </w:rPr>
        <w:t>小时内快速响应，</w:t>
      </w:r>
      <w:r>
        <w:rPr>
          <w:rFonts w:hint="eastAsia" w:ascii="仿宋" w:hAnsi="仿宋" w:eastAsia="仿宋" w:cs="仿宋"/>
          <w:color w:val="auto"/>
          <w:sz w:val="28"/>
          <w:szCs w:val="28"/>
          <w:lang w:val="en-US" w:eastAsia="zh-CN"/>
        </w:rPr>
        <w:t>硬件故障</w:t>
      </w:r>
      <w:r>
        <w:rPr>
          <w:rFonts w:hint="eastAsia" w:ascii="仿宋" w:hAnsi="仿宋" w:eastAsia="仿宋" w:cs="仿宋"/>
          <w:color w:val="auto"/>
          <w:sz w:val="28"/>
          <w:szCs w:val="28"/>
        </w:rPr>
        <w:t>在</w:t>
      </w:r>
      <w:r>
        <w:rPr>
          <w:rFonts w:hint="eastAsia" w:ascii="仿宋" w:hAnsi="仿宋" w:eastAsia="仿宋" w:cs="仿宋"/>
          <w:color w:val="auto"/>
          <w:sz w:val="28"/>
          <w:szCs w:val="28"/>
          <w:lang w:val="en-US" w:eastAsia="zh-CN"/>
        </w:rPr>
        <w:t>3</w:t>
      </w:r>
      <w:r>
        <w:rPr>
          <w:rFonts w:hint="eastAsia" w:ascii="仿宋" w:hAnsi="仿宋" w:eastAsia="仿宋" w:cs="仿宋"/>
          <w:color w:val="auto"/>
          <w:sz w:val="28"/>
          <w:szCs w:val="28"/>
        </w:rPr>
        <w:t>个工作日内派遣人员抵达现场，</w:t>
      </w:r>
      <w:r>
        <w:rPr>
          <w:rFonts w:hint="eastAsia" w:ascii="仿宋" w:hAnsi="仿宋" w:eastAsia="仿宋" w:cs="仿宋"/>
          <w:color w:val="auto"/>
          <w:sz w:val="28"/>
          <w:szCs w:val="28"/>
          <w:lang w:val="en-US" w:eastAsia="zh-CN"/>
        </w:rPr>
        <w:t>软件故障2小时内</w:t>
      </w:r>
      <w:r>
        <w:rPr>
          <w:rFonts w:hint="eastAsia" w:ascii="仿宋" w:hAnsi="仿宋" w:eastAsia="仿宋" w:cs="仿宋"/>
          <w:color w:val="auto"/>
          <w:sz w:val="28"/>
          <w:szCs w:val="28"/>
        </w:rPr>
        <w:t>解决问题。​</w:t>
      </w:r>
    </w:p>
    <w:p w14:paraId="7655247C">
      <w:pPr>
        <w:keepNext w:val="0"/>
        <w:keepLines w:val="0"/>
        <w:pageBreakBefore w:val="0"/>
        <w:widowControl w:val="0"/>
        <w:numPr>
          <w:ilvl w:val="0"/>
          <w:numId w:val="8"/>
        </w:numPr>
        <w:kinsoku/>
        <w:wordWrap/>
        <w:overflowPunct/>
        <w:topLinePunct w:val="0"/>
        <w:autoSpaceDE/>
        <w:autoSpaceDN/>
        <w:bidi w:val="0"/>
        <w:adjustRightInd/>
        <w:snapToGrid/>
        <w:spacing w:line="360" w:lineRule="auto"/>
        <w:ind w:left="425" w:leftChars="0" w:hanging="425" w:firstLineChars="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定期维护：</w:t>
      </w:r>
    </w:p>
    <w:p w14:paraId="7CDAC82F">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针对软件及平台数据的维护，提供全年不限次远程服务。</w:t>
      </w:r>
    </w:p>
    <w:p w14:paraId="04A3C153">
      <w:pPr>
        <w:keepNext w:val="0"/>
        <w:keepLines w:val="0"/>
        <w:pageBreakBefore w:val="0"/>
        <w:widowControl w:val="0"/>
        <w:numPr>
          <w:ilvl w:val="0"/>
          <w:numId w:val="8"/>
        </w:numPr>
        <w:kinsoku/>
        <w:wordWrap/>
        <w:overflowPunct/>
        <w:topLinePunct w:val="0"/>
        <w:autoSpaceDE/>
        <w:autoSpaceDN/>
        <w:bidi w:val="0"/>
        <w:adjustRightInd/>
        <w:snapToGrid/>
        <w:spacing w:line="360" w:lineRule="auto"/>
        <w:ind w:left="425" w:leftChars="0" w:hanging="425" w:firstLineChars="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技术支持：</w:t>
      </w:r>
      <w:r>
        <w:rPr>
          <w:rFonts w:hint="eastAsia" w:ascii="仿宋" w:hAnsi="仿宋" w:eastAsia="仿宋" w:cs="仿宋"/>
          <w:color w:val="auto"/>
          <w:sz w:val="28"/>
          <w:szCs w:val="28"/>
          <w:lang w:val="en-US" w:eastAsia="zh-CN"/>
        </w:rPr>
        <w:t>提供</w:t>
      </w:r>
      <w:r>
        <w:rPr>
          <w:rFonts w:hint="eastAsia" w:ascii="仿宋" w:hAnsi="仿宋" w:eastAsia="仿宋" w:cs="仿宋"/>
          <w:color w:val="auto"/>
          <w:sz w:val="28"/>
          <w:szCs w:val="28"/>
        </w:rPr>
        <w:t xml:space="preserve"> 7×24 小时</w:t>
      </w:r>
      <w:r>
        <w:rPr>
          <w:rFonts w:hint="eastAsia" w:ascii="仿宋" w:hAnsi="仿宋" w:eastAsia="仿宋" w:cs="仿宋"/>
          <w:color w:val="auto"/>
          <w:sz w:val="28"/>
          <w:szCs w:val="28"/>
          <w:lang w:val="en-US" w:eastAsia="zh-CN"/>
        </w:rPr>
        <w:t>远程</w:t>
      </w:r>
      <w:r>
        <w:rPr>
          <w:rFonts w:hint="eastAsia" w:ascii="仿宋" w:hAnsi="仿宋" w:eastAsia="仿宋" w:cs="仿宋"/>
          <w:color w:val="auto"/>
          <w:sz w:val="28"/>
          <w:szCs w:val="28"/>
        </w:rPr>
        <w:t>技术服务，可随时通过电话、</w:t>
      </w:r>
      <w:r>
        <w:rPr>
          <w:rFonts w:hint="eastAsia" w:ascii="仿宋" w:hAnsi="仿宋" w:eastAsia="仿宋" w:cs="仿宋"/>
          <w:color w:val="auto"/>
          <w:sz w:val="28"/>
          <w:szCs w:val="28"/>
          <w:lang w:val="en-US" w:eastAsia="zh-CN"/>
        </w:rPr>
        <w:t>微信</w:t>
      </w:r>
      <w:r>
        <w:rPr>
          <w:rFonts w:hint="eastAsia" w:ascii="仿宋" w:hAnsi="仿宋" w:eastAsia="仿宋" w:cs="仿宋"/>
          <w:color w:val="auto"/>
          <w:sz w:val="28"/>
          <w:szCs w:val="28"/>
        </w:rPr>
        <w:t>等方式与技术人员取得联系，及时提供技术支持与解决方案。​</w:t>
      </w:r>
    </w:p>
    <w:p w14:paraId="38A3AC99">
      <w:pPr>
        <w:keepNext w:val="0"/>
        <w:keepLines w:val="0"/>
        <w:pageBreakBefore w:val="0"/>
        <w:widowControl w:val="0"/>
        <w:numPr>
          <w:ilvl w:val="0"/>
          <w:numId w:val="8"/>
        </w:numPr>
        <w:kinsoku/>
        <w:wordWrap/>
        <w:overflowPunct/>
        <w:topLinePunct w:val="0"/>
        <w:autoSpaceDE/>
        <w:autoSpaceDN/>
        <w:bidi w:val="0"/>
        <w:adjustRightInd/>
        <w:snapToGrid/>
        <w:spacing w:line="360" w:lineRule="auto"/>
        <w:ind w:left="425" w:leftChars="0" w:hanging="425" w:firstLineChars="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配件供应：质保期结束后，仍将以优惠价格持续供应原厂配件，并提供优质有偿维修服务，确保设备长期稳定运行。</w:t>
      </w:r>
    </w:p>
    <w:p w14:paraId="56C6D771">
      <w:pPr>
        <w:keepNext w:val="0"/>
        <w:keepLines w:val="0"/>
        <w:pageBreakBefore w:val="0"/>
        <w:widowControl w:val="0"/>
        <w:numPr>
          <w:ilvl w:val="0"/>
          <w:numId w:val="8"/>
        </w:numPr>
        <w:kinsoku/>
        <w:wordWrap/>
        <w:overflowPunct/>
        <w:topLinePunct w:val="0"/>
        <w:autoSpaceDE/>
        <w:autoSpaceDN/>
        <w:bidi w:val="0"/>
        <w:adjustRightInd/>
        <w:snapToGrid/>
        <w:spacing w:line="360" w:lineRule="auto"/>
        <w:ind w:left="425" w:leftChars="0" w:hanging="425" w:firstLineChars="0"/>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本公告发布的所有技术参数均需提供实际功能截图以供证明，无法证明者视为无效响应。</w:t>
      </w:r>
    </w:p>
    <w:p w14:paraId="0F7A3ED2">
      <w:pPr>
        <w:keepNext w:val="0"/>
        <w:keepLines w:val="0"/>
        <w:pageBreakBefore w:val="0"/>
        <w:widowControl w:val="0"/>
        <w:numPr>
          <w:ilvl w:val="0"/>
          <w:numId w:val="8"/>
        </w:numPr>
        <w:kinsoku/>
        <w:wordWrap/>
        <w:overflowPunct/>
        <w:topLinePunct w:val="0"/>
        <w:autoSpaceDE/>
        <w:autoSpaceDN/>
        <w:bidi w:val="0"/>
        <w:adjustRightInd/>
        <w:snapToGrid/>
        <w:spacing w:line="360" w:lineRule="auto"/>
        <w:ind w:left="425" w:leftChars="0" w:hanging="425" w:firstLineChars="0"/>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供货期：</w:t>
      </w:r>
      <w:r>
        <w:rPr>
          <w:rFonts w:hint="eastAsia" w:ascii="仿宋" w:hAnsi="仿宋" w:eastAsia="仿宋" w:cs="仿宋"/>
          <w:color w:val="auto"/>
          <w:sz w:val="28"/>
          <w:szCs w:val="28"/>
        </w:rPr>
        <w:t>自合同签定之日起30日历天内，并根</w:t>
      </w:r>
      <w:r>
        <w:rPr>
          <w:rFonts w:hint="eastAsia" w:ascii="仿宋" w:hAnsi="仿宋" w:eastAsia="仿宋" w:cs="仿宋"/>
          <w:color w:val="auto"/>
          <w:sz w:val="28"/>
          <w:szCs w:val="28"/>
          <w:lang w:val="en-US" w:eastAsia="zh-CN"/>
        </w:rPr>
        <w:t>采购方</w:t>
      </w:r>
      <w:r>
        <w:rPr>
          <w:rFonts w:hint="eastAsia" w:ascii="仿宋" w:hAnsi="仿宋" w:eastAsia="仿宋" w:cs="仿宋"/>
          <w:color w:val="auto"/>
          <w:sz w:val="28"/>
          <w:szCs w:val="28"/>
        </w:rPr>
        <w:t>要求在指定地点进行安装、调试、验收等工作</w:t>
      </w:r>
      <w:r>
        <w:rPr>
          <w:rFonts w:hint="eastAsia" w:ascii="仿宋" w:hAnsi="仿宋" w:eastAsia="仿宋" w:cs="仿宋"/>
          <w:color w:val="auto"/>
          <w:sz w:val="28"/>
          <w:szCs w:val="28"/>
          <w:lang w:val="en-US" w:eastAsia="zh-CN"/>
        </w:rPr>
        <w:t>。</w:t>
      </w:r>
    </w:p>
    <w:p w14:paraId="42022B0C">
      <w:pPr>
        <w:widowControl w:val="0"/>
        <w:numPr>
          <w:ilvl w:val="0"/>
          <w:numId w:val="0"/>
        </w:numPr>
        <w:spacing w:line="360" w:lineRule="auto"/>
        <w:jc w:val="left"/>
        <w:rPr>
          <w:rFonts w:hint="eastAsia" w:ascii="仿宋" w:hAnsi="仿宋" w:eastAsia="仿宋" w:cs="仿宋"/>
          <w:b w:val="0"/>
          <w:bCs w:val="0"/>
          <w:i w:val="0"/>
          <w:iCs w:val="0"/>
          <w:color w:val="auto"/>
          <w:kern w:val="0"/>
          <w:sz w:val="28"/>
          <w:szCs w:val="28"/>
          <w:highlight w:val="red"/>
          <w:u w:val="none"/>
          <w:lang w:val="en-US" w:eastAsia="zh-CN" w:bidi="ar"/>
        </w:rPr>
      </w:pPr>
    </w:p>
    <w:p w14:paraId="34989A6D">
      <w:pPr>
        <w:pStyle w:val="6"/>
        <w:jc w:val="center"/>
        <w:rPr>
          <w:rFonts w:hint="eastAsia" w:ascii="仿宋_GB2312" w:hAnsi="仿宋_GB2312" w:eastAsia="仿宋_GB2312" w:cs="仿宋_GB2312"/>
          <w:b/>
          <w:bCs/>
          <w:sz w:val="44"/>
          <w:szCs w:val="44"/>
          <w:lang w:val="en-US" w:eastAsia="zh-CN"/>
        </w:rPr>
      </w:pPr>
      <w:bookmarkStart w:id="0" w:name="_GoBack"/>
      <w:bookmarkEnd w:id="0"/>
      <w:r>
        <w:rPr>
          <w:rFonts w:hint="eastAsia" w:ascii="仿宋_GB2312" w:hAnsi="仿宋_GB2312" w:eastAsia="仿宋_GB2312" w:cs="仿宋_GB2312"/>
          <w:b/>
          <w:bCs/>
          <w:sz w:val="44"/>
          <w:szCs w:val="44"/>
          <w:lang w:val="en-US" w:eastAsia="zh-CN"/>
        </w:rPr>
        <w:t>响应文件格式</w:t>
      </w:r>
    </w:p>
    <w:p w14:paraId="7F699188">
      <w:pPr>
        <w:pStyle w:val="4"/>
        <w:ind w:left="0" w:leftChars="0" w:firstLine="0" w:firstLineChars="0"/>
        <w:rPr>
          <w:rFonts w:hint="eastAsia"/>
          <w:lang w:val="en-US" w:eastAsia="zh-CN"/>
        </w:rPr>
      </w:pPr>
    </w:p>
    <w:p w14:paraId="3B36A1BB">
      <w:pPr>
        <w:pStyle w:val="6"/>
        <w:numPr>
          <w:ilvl w:val="0"/>
          <w:numId w:val="9"/>
        </w:numPr>
        <w:rPr>
          <w:rFonts w:hint="eastAsia" w:ascii="宋体" w:hAnsi="宋体" w:eastAsia="宋体" w:cs="宋体"/>
          <w:lang w:val="en-US" w:eastAsia="zh-CN"/>
        </w:rPr>
      </w:pPr>
      <w:r>
        <w:rPr>
          <w:rFonts w:hint="eastAsia" w:ascii="宋体" w:hAnsi="宋体" w:eastAsia="宋体" w:cs="宋体"/>
          <w:sz w:val="28"/>
          <w:szCs w:val="28"/>
          <w:lang w:val="en-US" w:eastAsia="zh-CN"/>
        </w:rPr>
        <w:t>公司有效的营业执照副本、税务登记证、组织机构代码证或“三证合一”营业执照复印件；</w:t>
      </w:r>
    </w:p>
    <w:p w14:paraId="055B0CE8">
      <w:pPr>
        <w:pStyle w:val="6"/>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2.申请人法人身份证复印件、经办人身份证复印件、经办人授权书；</w:t>
      </w:r>
    </w:p>
    <w:p w14:paraId="7E3EA11A">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申请人名称：</w:t>
      </w:r>
      <w:r>
        <w:rPr>
          <w:rFonts w:hint="eastAsia" w:ascii="仿宋" w:hAnsi="仿宋" w:eastAsia="仿宋" w:cs="仿宋"/>
          <w:color w:val="auto"/>
          <w:sz w:val="24"/>
          <w:szCs w:val="24"/>
          <w:u w:val="single"/>
        </w:rPr>
        <w:t xml:space="preserve">                        </w:t>
      </w:r>
    </w:p>
    <w:p w14:paraId="6EAFD023">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单位性质：</w:t>
      </w:r>
      <w:r>
        <w:rPr>
          <w:rFonts w:hint="eastAsia" w:ascii="仿宋" w:hAnsi="仿宋" w:eastAsia="仿宋" w:cs="仿宋"/>
          <w:color w:val="auto"/>
          <w:sz w:val="24"/>
          <w:szCs w:val="24"/>
          <w:u w:val="single"/>
        </w:rPr>
        <w:t xml:space="preserve">                          </w:t>
      </w:r>
    </w:p>
    <w:p w14:paraId="3E93C1A6">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成立时间：</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年</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月</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日 </w:t>
      </w:r>
    </w:p>
    <w:p w14:paraId="29B94648">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经营期限：</w:t>
      </w:r>
      <w:r>
        <w:rPr>
          <w:rFonts w:hint="eastAsia" w:ascii="仿宋" w:hAnsi="仿宋" w:eastAsia="仿宋" w:cs="仿宋"/>
          <w:color w:val="auto"/>
          <w:sz w:val="24"/>
          <w:szCs w:val="24"/>
          <w:u w:val="single"/>
        </w:rPr>
        <w:t xml:space="preserve">                 </w:t>
      </w:r>
    </w:p>
    <w:p w14:paraId="6A116B98">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姓名：</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性别：</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年龄：</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职务</w:t>
      </w:r>
      <w:r>
        <w:rPr>
          <w:rFonts w:hint="eastAsia" w:ascii="仿宋" w:hAnsi="仿宋" w:eastAsia="仿宋" w:cs="仿宋"/>
          <w:color w:val="auto"/>
          <w:sz w:val="24"/>
          <w:szCs w:val="24"/>
          <w:u w:val="single"/>
        </w:rPr>
        <w:t xml:space="preserve">             </w:t>
      </w:r>
    </w:p>
    <w:p w14:paraId="161C814D">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系</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（申请人名称）的法定代表人。 </w:t>
      </w:r>
    </w:p>
    <w:p w14:paraId="756B1177">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 xml:space="preserve">特此证明。 </w:t>
      </w:r>
    </w:p>
    <w:p w14:paraId="0FF11F89">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申请人：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 xml:space="preserve">） </w:t>
      </w:r>
    </w:p>
    <w:p w14:paraId="50C2BE72">
      <w:pPr>
        <w:spacing w:line="360" w:lineRule="auto"/>
        <w:ind w:firstLine="120" w:firstLineChars="50"/>
        <w:rPr>
          <w:rFonts w:hint="eastAsia" w:ascii="仿宋" w:hAnsi="仿宋" w:eastAsia="仿宋" w:cs="仿宋"/>
          <w:color w:val="auto"/>
          <w:sz w:val="24"/>
          <w:szCs w:val="24"/>
        </w:rPr>
      </w:pP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年</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月</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日 </w:t>
      </w:r>
    </w:p>
    <w:p w14:paraId="0DF48D96">
      <w:pPr>
        <w:spacing w:line="360" w:lineRule="auto"/>
        <w:rPr>
          <w:rFonts w:hint="eastAsia" w:ascii="仿宋" w:hAnsi="仿宋" w:eastAsia="仿宋" w:cs="仿宋"/>
          <w:color w:val="auto"/>
          <w:sz w:val="24"/>
          <w:szCs w:val="24"/>
        </w:rPr>
      </w:pP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23"/>
        <w:gridCol w:w="4606"/>
      </w:tblGrid>
      <w:tr w14:paraId="0119B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7" w:hRule="atLeast"/>
          <w:jc w:val="center"/>
        </w:trPr>
        <w:tc>
          <w:tcPr>
            <w:tcW w:w="4923" w:type="dxa"/>
            <w:noWrap w:val="0"/>
            <w:vAlign w:val="top"/>
          </w:tcPr>
          <w:p w14:paraId="61F31665">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附：法定代表人身份证正面复印件</w:t>
            </w:r>
          </w:p>
          <w:p w14:paraId="4AFD2B24">
            <w:pPr>
              <w:spacing w:line="500" w:lineRule="exact"/>
              <w:rPr>
                <w:rFonts w:hint="eastAsia" w:ascii="宋体" w:hAnsi="宋体" w:eastAsia="宋体" w:cs="宋体"/>
                <w:color w:val="auto"/>
                <w:sz w:val="24"/>
                <w:szCs w:val="24"/>
              </w:rPr>
            </w:pPr>
          </w:p>
          <w:p w14:paraId="3734AB06">
            <w:pPr>
              <w:spacing w:line="500" w:lineRule="exact"/>
              <w:rPr>
                <w:rFonts w:hint="eastAsia" w:ascii="宋体" w:hAnsi="宋体" w:eastAsia="宋体" w:cs="宋体"/>
                <w:color w:val="auto"/>
                <w:sz w:val="24"/>
                <w:szCs w:val="24"/>
              </w:rPr>
            </w:pPr>
          </w:p>
          <w:p w14:paraId="2152105F">
            <w:pPr>
              <w:spacing w:line="500" w:lineRule="exact"/>
              <w:rPr>
                <w:rFonts w:hint="eastAsia" w:ascii="宋体" w:hAnsi="宋体" w:eastAsia="宋体" w:cs="宋体"/>
                <w:color w:val="auto"/>
                <w:sz w:val="24"/>
                <w:szCs w:val="24"/>
              </w:rPr>
            </w:pPr>
          </w:p>
          <w:p w14:paraId="6F8DAC35">
            <w:pPr>
              <w:spacing w:line="500" w:lineRule="exact"/>
              <w:rPr>
                <w:rFonts w:hint="eastAsia" w:ascii="宋体" w:hAnsi="宋体" w:eastAsia="宋体" w:cs="宋体"/>
                <w:color w:val="auto"/>
                <w:sz w:val="24"/>
                <w:szCs w:val="24"/>
              </w:rPr>
            </w:pPr>
          </w:p>
        </w:tc>
        <w:tc>
          <w:tcPr>
            <w:tcW w:w="4606" w:type="dxa"/>
            <w:noWrap w:val="0"/>
            <w:vAlign w:val="top"/>
          </w:tcPr>
          <w:p w14:paraId="33A30952">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附：法定代表人身份证背面复印件</w:t>
            </w:r>
          </w:p>
          <w:p w14:paraId="6B2A6714">
            <w:pPr>
              <w:widowControl/>
              <w:jc w:val="left"/>
              <w:rPr>
                <w:rFonts w:hint="eastAsia" w:ascii="宋体" w:hAnsi="宋体" w:eastAsia="宋体" w:cs="宋体"/>
                <w:color w:val="auto"/>
                <w:sz w:val="24"/>
                <w:szCs w:val="24"/>
              </w:rPr>
            </w:pPr>
          </w:p>
          <w:p w14:paraId="6360F388">
            <w:pPr>
              <w:widowControl/>
              <w:jc w:val="left"/>
              <w:rPr>
                <w:rFonts w:hint="eastAsia" w:ascii="宋体" w:hAnsi="宋体" w:eastAsia="宋体" w:cs="宋体"/>
                <w:color w:val="auto"/>
                <w:sz w:val="24"/>
                <w:szCs w:val="24"/>
              </w:rPr>
            </w:pPr>
          </w:p>
          <w:p w14:paraId="3F48D66B">
            <w:pPr>
              <w:widowControl/>
              <w:jc w:val="left"/>
              <w:rPr>
                <w:rFonts w:hint="eastAsia" w:ascii="宋体" w:hAnsi="宋体" w:eastAsia="宋体" w:cs="宋体"/>
                <w:color w:val="auto"/>
                <w:sz w:val="24"/>
                <w:szCs w:val="24"/>
              </w:rPr>
            </w:pPr>
          </w:p>
          <w:p w14:paraId="44025C97">
            <w:pPr>
              <w:widowControl/>
              <w:jc w:val="left"/>
              <w:rPr>
                <w:rFonts w:hint="eastAsia" w:ascii="宋体" w:hAnsi="宋体" w:eastAsia="宋体" w:cs="宋体"/>
                <w:color w:val="auto"/>
                <w:sz w:val="24"/>
                <w:szCs w:val="24"/>
              </w:rPr>
            </w:pPr>
          </w:p>
          <w:p w14:paraId="126D504A">
            <w:pPr>
              <w:spacing w:line="500" w:lineRule="exact"/>
              <w:rPr>
                <w:rFonts w:hint="eastAsia" w:ascii="宋体" w:hAnsi="宋体" w:eastAsia="宋体" w:cs="宋体"/>
                <w:color w:val="auto"/>
                <w:sz w:val="24"/>
                <w:szCs w:val="24"/>
              </w:rPr>
            </w:pPr>
          </w:p>
          <w:p w14:paraId="30B86C3A">
            <w:pPr>
              <w:spacing w:line="500" w:lineRule="exact"/>
              <w:rPr>
                <w:rFonts w:hint="eastAsia" w:ascii="宋体" w:hAnsi="宋体" w:eastAsia="宋体" w:cs="宋体"/>
                <w:color w:val="auto"/>
                <w:sz w:val="24"/>
                <w:szCs w:val="24"/>
              </w:rPr>
            </w:pPr>
          </w:p>
        </w:tc>
      </w:tr>
    </w:tbl>
    <w:p w14:paraId="40F6516D">
      <w:pPr>
        <w:rPr>
          <w:rFonts w:hint="eastAsia"/>
          <w:lang w:val="en-US" w:eastAsia="zh-CN"/>
        </w:rPr>
      </w:pPr>
    </w:p>
    <w:p w14:paraId="1E4F1438">
      <w:pPr>
        <w:widowControl/>
        <w:spacing w:line="360" w:lineRule="auto"/>
        <w:jc w:val="center"/>
        <w:rPr>
          <w:rFonts w:hint="eastAsia" w:ascii="仿宋" w:hAnsi="仿宋" w:eastAsia="仿宋" w:cs="仿宋"/>
          <w:b/>
          <w:color w:val="auto"/>
          <w:sz w:val="24"/>
          <w:szCs w:val="24"/>
        </w:rPr>
      </w:pPr>
      <w:r>
        <w:rPr>
          <w:rFonts w:hint="eastAsia" w:ascii="仿宋" w:hAnsi="仿宋" w:eastAsia="仿宋" w:cs="仿宋"/>
          <w:b/>
          <w:color w:val="auto"/>
          <w:sz w:val="24"/>
          <w:szCs w:val="24"/>
        </w:rPr>
        <w:t>法定代表人授权委托书</w:t>
      </w:r>
    </w:p>
    <w:p w14:paraId="7F76BA92">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　　　本人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（姓名）系</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（申请人名称）的法定代表人，现委托</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（姓名）为我方代理人。代理人根据授权，以我方名义签署、澄清、递交、撤回、修改</w:t>
      </w:r>
      <w:r>
        <w:rPr>
          <w:rFonts w:hint="eastAsia" w:ascii="仿宋" w:hAnsi="仿宋" w:eastAsia="仿宋" w:cs="仿宋"/>
          <w:color w:val="auto"/>
          <w:sz w:val="24"/>
          <w:szCs w:val="24"/>
          <w:u w:val="single"/>
        </w:rPr>
        <w:t xml:space="preserve">        </w:t>
      </w:r>
      <w:r>
        <w:rPr>
          <w:rFonts w:hint="eastAsia" w:ascii="仿宋" w:hAnsi="仿宋" w:cs="仿宋"/>
          <w:color w:val="auto"/>
          <w:sz w:val="24"/>
          <w:szCs w:val="24"/>
          <w:u w:val="single"/>
          <w:lang w:eastAsia="zh-CN"/>
        </w:rPr>
        <w:t>（</w:t>
      </w:r>
      <w:r>
        <w:rPr>
          <w:rFonts w:hint="eastAsia" w:ascii="仿宋" w:hAnsi="仿宋" w:cs="仿宋"/>
          <w:color w:val="auto"/>
          <w:sz w:val="24"/>
          <w:szCs w:val="24"/>
          <w:u w:val="single"/>
          <w:lang w:val="en-US" w:eastAsia="zh-CN"/>
        </w:rPr>
        <w:t>填写项目名称</w:t>
      </w:r>
      <w:r>
        <w:rPr>
          <w:rFonts w:hint="eastAsia" w:ascii="仿宋" w:hAnsi="仿宋" w:cs="仿宋"/>
          <w:color w:val="auto"/>
          <w:sz w:val="24"/>
          <w:szCs w:val="24"/>
          <w:u w:val="single"/>
          <w:lang w:eastAsia="zh-CN"/>
        </w:rPr>
        <w:t>）</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招标资格审查申请文件，其法律后果由我方承担。 </w:t>
      </w:r>
    </w:p>
    <w:p w14:paraId="4B8B3092">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委托期限：</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 </w:t>
      </w:r>
    </w:p>
    <w:p w14:paraId="2E5447B1">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 xml:space="preserve">代理人无转委托权。 </w:t>
      </w:r>
    </w:p>
    <w:p w14:paraId="3DAC1EE1">
      <w:pPr>
        <w:rPr>
          <w:rFonts w:hint="eastAsia" w:ascii="仿宋" w:hAnsi="仿宋" w:eastAsia="仿宋" w:cs="仿宋"/>
          <w:color w:val="auto"/>
          <w:sz w:val="24"/>
          <w:szCs w:val="24"/>
        </w:rPr>
      </w:pPr>
    </w:p>
    <w:p w14:paraId="324DD761">
      <w:pPr>
        <w:rPr>
          <w:rFonts w:hint="eastAsia" w:ascii="仿宋" w:hAnsi="仿宋" w:eastAsia="仿宋" w:cs="仿宋"/>
          <w:color w:val="auto"/>
          <w:sz w:val="24"/>
          <w:szCs w:val="24"/>
        </w:rPr>
      </w:pPr>
      <w:r>
        <w:rPr>
          <w:rFonts w:hint="eastAsia" w:ascii="仿宋" w:hAnsi="仿宋" w:eastAsia="仿宋" w:cs="仿宋"/>
          <w:color w:val="auto"/>
          <w:sz w:val="24"/>
          <w:szCs w:val="24"/>
        </w:rPr>
        <w:t>附：法定代表授权委托人身份证复印件</w:t>
      </w:r>
    </w:p>
    <w:p w14:paraId="62526E7A">
      <w:pPr>
        <w:spacing w:line="360" w:lineRule="auto"/>
        <w:rPr>
          <w:rFonts w:hint="eastAsia" w:ascii="仿宋" w:hAnsi="仿宋" w:eastAsia="仿宋" w:cs="仿宋"/>
          <w:color w:val="auto"/>
          <w:sz w:val="24"/>
          <w:szCs w:val="24"/>
        </w:rPr>
      </w:pPr>
    </w:p>
    <w:p w14:paraId="590EA06C">
      <w:pPr>
        <w:spacing w:line="360" w:lineRule="auto"/>
        <w:rPr>
          <w:rFonts w:hint="eastAsia" w:ascii="仿宋" w:hAnsi="仿宋" w:eastAsia="仿宋" w:cs="仿宋"/>
          <w:color w:val="auto"/>
          <w:sz w:val="24"/>
          <w:szCs w:val="24"/>
        </w:rPr>
      </w:pPr>
    </w:p>
    <w:p w14:paraId="56A624C4">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申请人：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 xml:space="preserve">） </w:t>
      </w:r>
    </w:p>
    <w:p w14:paraId="0FC23DDA">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法定代表人：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 xml:space="preserve">） </w:t>
      </w:r>
    </w:p>
    <w:p w14:paraId="5A5B4ECA">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身份证号码：</w:t>
      </w:r>
      <w:r>
        <w:rPr>
          <w:rFonts w:hint="eastAsia" w:ascii="仿宋" w:hAnsi="仿宋" w:eastAsia="仿宋" w:cs="仿宋"/>
          <w:color w:val="auto"/>
          <w:sz w:val="24"/>
          <w:szCs w:val="24"/>
          <w:u w:val="single"/>
        </w:rPr>
        <w:t xml:space="preserve">                         </w:t>
      </w:r>
    </w:p>
    <w:p w14:paraId="27A033AC">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委托代理人：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w:t>
      </w:r>
    </w:p>
    <w:p w14:paraId="68F09BE5">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身份证号码：</w:t>
      </w:r>
      <w:r>
        <w:rPr>
          <w:rFonts w:hint="eastAsia" w:ascii="仿宋" w:hAnsi="仿宋" w:eastAsia="仿宋" w:cs="仿宋"/>
          <w:color w:val="auto"/>
          <w:sz w:val="24"/>
          <w:szCs w:val="24"/>
          <w:u w:val="single"/>
        </w:rPr>
        <w:t xml:space="preserve">                       </w:t>
      </w:r>
    </w:p>
    <w:p w14:paraId="3CE23DC3">
      <w:pPr>
        <w:spacing w:line="360" w:lineRule="auto"/>
        <w:ind w:firstLine="120" w:firstLineChars="50"/>
        <w:rPr>
          <w:rFonts w:hint="eastAsia" w:ascii="仿宋" w:hAnsi="仿宋" w:eastAsia="仿宋" w:cs="仿宋"/>
          <w:color w:val="auto"/>
          <w:sz w:val="24"/>
          <w:szCs w:val="24"/>
        </w:rPr>
      </w:pP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年</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月</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日 </w:t>
      </w:r>
    </w:p>
    <w:p w14:paraId="7FD84076">
      <w:pPr>
        <w:spacing w:line="360" w:lineRule="auto"/>
        <w:ind w:firstLine="120" w:firstLineChars="50"/>
        <w:rPr>
          <w:rFonts w:hint="eastAsia" w:ascii="宋体" w:hAnsi="宋体" w:eastAsia="宋体" w:cs="宋体"/>
          <w:color w:val="auto"/>
          <w:sz w:val="24"/>
          <w:szCs w:val="24"/>
        </w:rPr>
      </w:pP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83"/>
        <w:gridCol w:w="4777"/>
      </w:tblGrid>
      <w:tr w14:paraId="46F96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0" w:hRule="atLeast"/>
          <w:jc w:val="center"/>
        </w:trPr>
        <w:tc>
          <w:tcPr>
            <w:tcW w:w="4883" w:type="dxa"/>
            <w:noWrap w:val="0"/>
            <w:vAlign w:val="top"/>
          </w:tcPr>
          <w:p w14:paraId="0442FE26">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附：授权委托人身份证正面复印件</w:t>
            </w:r>
          </w:p>
          <w:p w14:paraId="691CDB1A">
            <w:pPr>
              <w:spacing w:line="500" w:lineRule="exact"/>
              <w:rPr>
                <w:rFonts w:hint="eastAsia" w:ascii="宋体" w:hAnsi="宋体" w:eastAsia="宋体" w:cs="宋体"/>
                <w:color w:val="auto"/>
                <w:sz w:val="24"/>
                <w:szCs w:val="24"/>
              </w:rPr>
            </w:pPr>
          </w:p>
          <w:p w14:paraId="6C5788C4">
            <w:pPr>
              <w:spacing w:line="500" w:lineRule="exact"/>
              <w:rPr>
                <w:rFonts w:hint="eastAsia" w:ascii="宋体" w:hAnsi="宋体" w:eastAsia="宋体" w:cs="宋体"/>
                <w:color w:val="auto"/>
                <w:sz w:val="24"/>
                <w:szCs w:val="24"/>
              </w:rPr>
            </w:pPr>
          </w:p>
          <w:p w14:paraId="54D04DA4">
            <w:pPr>
              <w:spacing w:line="500" w:lineRule="exact"/>
              <w:rPr>
                <w:rFonts w:hint="eastAsia" w:ascii="宋体" w:hAnsi="宋体" w:eastAsia="宋体" w:cs="宋体"/>
                <w:color w:val="auto"/>
                <w:sz w:val="24"/>
                <w:szCs w:val="24"/>
              </w:rPr>
            </w:pPr>
          </w:p>
        </w:tc>
        <w:tc>
          <w:tcPr>
            <w:tcW w:w="4777" w:type="dxa"/>
            <w:noWrap w:val="0"/>
            <w:vAlign w:val="top"/>
          </w:tcPr>
          <w:p w14:paraId="372A39CB">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附：授权委托人身份证背面复印件</w:t>
            </w:r>
          </w:p>
          <w:p w14:paraId="2DD25C30">
            <w:pPr>
              <w:widowControl/>
              <w:jc w:val="left"/>
              <w:rPr>
                <w:rFonts w:hint="eastAsia" w:ascii="宋体" w:hAnsi="宋体" w:eastAsia="宋体" w:cs="宋体"/>
                <w:color w:val="auto"/>
                <w:sz w:val="24"/>
                <w:szCs w:val="24"/>
              </w:rPr>
            </w:pPr>
          </w:p>
          <w:p w14:paraId="0B9CCDD1">
            <w:pPr>
              <w:widowControl/>
              <w:jc w:val="left"/>
              <w:rPr>
                <w:rFonts w:hint="eastAsia" w:ascii="宋体" w:hAnsi="宋体" w:eastAsia="宋体" w:cs="宋体"/>
                <w:color w:val="auto"/>
                <w:sz w:val="24"/>
                <w:szCs w:val="24"/>
              </w:rPr>
            </w:pPr>
          </w:p>
          <w:p w14:paraId="10412AE3">
            <w:pPr>
              <w:spacing w:line="500" w:lineRule="exact"/>
              <w:rPr>
                <w:rFonts w:hint="eastAsia" w:ascii="宋体" w:hAnsi="宋体" w:eastAsia="宋体" w:cs="宋体"/>
                <w:color w:val="auto"/>
                <w:sz w:val="24"/>
                <w:szCs w:val="24"/>
              </w:rPr>
            </w:pPr>
          </w:p>
        </w:tc>
      </w:tr>
    </w:tbl>
    <w:p w14:paraId="191A9C9A">
      <w:pPr>
        <w:spacing w:line="360" w:lineRule="auto"/>
        <w:rPr>
          <w:rFonts w:hint="eastAsia" w:ascii="仿宋" w:hAnsi="仿宋" w:eastAsia="仿宋" w:cs="仿宋"/>
          <w:b/>
          <w:bCs/>
          <w:sz w:val="28"/>
          <w:szCs w:val="28"/>
          <w:lang w:val="en-US" w:eastAsia="zh-CN"/>
        </w:rPr>
      </w:pPr>
      <w:r>
        <w:rPr>
          <w:rFonts w:hint="eastAsia" w:ascii="宋体" w:hAnsi="宋体" w:eastAsia="宋体" w:cs="宋体"/>
          <w:b/>
          <w:bCs/>
          <w:color w:val="auto"/>
          <w:sz w:val="24"/>
          <w:szCs w:val="24"/>
        </w:rPr>
        <w:t>注：若投标供应商法定代表人出席的只需提供法定代表人身份证明书</w:t>
      </w:r>
    </w:p>
    <w:p w14:paraId="12E4FD71">
      <w:pPr>
        <w:pStyle w:val="6"/>
        <w:rPr>
          <w:rFonts w:hint="eastAsia"/>
          <w:lang w:val="en-US" w:eastAsia="zh-CN"/>
        </w:rPr>
      </w:pPr>
    </w:p>
    <w:p w14:paraId="72770D59">
      <w:pPr>
        <w:pStyle w:val="6"/>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3.具备履行合同所必需的设备和专业技术能力的证明材料或承诺；（格式自拟）</w:t>
      </w:r>
    </w:p>
    <w:p w14:paraId="6450C7B7">
      <w:pPr>
        <w:pStyle w:val="6"/>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4.参加政府采购活动前三年内在经营活动中无重大违法、无违规违纪的书面声明；</w:t>
      </w:r>
    </w:p>
    <w:p w14:paraId="32E75C74">
      <w:pPr>
        <w:jc w:val="center"/>
        <w:rPr>
          <w:rFonts w:hint="eastAsia" w:ascii="黑体" w:hAnsi="黑体" w:eastAsia="黑体" w:cs="黑体"/>
          <w:b/>
          <w:bCs/>
          <w:sz w:val="28"/>
          <w:szCs w:val="28"/>
          <w:lang w:val="en-US" w:eastAsia="zh-CN"/>
        </w:rPr>
      </w:pPr>
    </w:p>
    <w:p w14:paraId="2E6830F8">
      <w:pPr>
        <w:jc w:val="center"/>
        <w:rPr>
          <w:rFonts w:hint="eastAsia" w:ascii="黑体" w:hAnsi="黑体" w:eastAsia="黑体" w:cs="黑体"/>
          <w:b/>
          <w:bCs/>
          <w:sz w:val="28"/>
          <w:szCs w:val="28"/>
          <w:lang w:val="en-US" w:eastAsia="zh-CN"/>
        </w:rPr>
      </w:pPr>
    </w:p>
    <w:p w14:paraId="06821F5E">
      <w:pPr>
        <w:jc w:val="center"/>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无重大违法、无违规违纪书面声明</w:t>
      </w:r>
    </w:p>
    <w:p w14:paraId="768E3484">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w:t>
      </w:r>
    </w:p>
    <w:p w14:paraId="0DB62FF4">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致：[采购单位/招标代理机构名称] </w:t>
      </w:r>
    </w:p>
    <w:p w14:paraId="1D0E806F">
      <w:pPr>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我单位[投标人全称]，统一社会信用代码为[具体代码]，现参与贵方组织的[项目名称]（项目编号：[具体编号]）的投标活动。在此，郑重作出如下声明：</w:t>
      </w:r>
    </w:p>
    <w:p w14:paraId="7F65B41D">
      <w:pPr>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在参加本次政府采购活动前三年内，我单位在经营活动中无任何重大违法记录，包括但不限于未因违法经营受到刑事处罚，未被责令停产停业、吊销许可证或者执照、未受到过行政机关认定的较大数额罚款等行政处罚 。同时，我单位内部管理规范，不存在任何违规违纪行为，无违反内部规章制度、行业准则及损害公共利益等情形。 </w:t>
      </w:r>
    </w:p>
    <w:p w14:paraId="0FC318CF">
      <w:pPr>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我单位保证上述声明内容真实、准确、完整。若存在隐瞒、虚假陈述等情况，愿意承担由此引发的一切法律责任，包括但不限于取消投标资格、中标无效，以及按照相关法律法规接受处罚，并赔偿因此给采购人、招标代理机构及其他相关方造成的全部损失。</w:t>
      </w:r>
    </w:p>
    <w:p w14:paraId="0C1FAE68">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w:t>
      </w:r>
    </w:p>
    <w:p w14:paraId="197657C0">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特此声明！</w:t>
      </w:r>
    </w:p>
    <w:p w14:paraId="0E6A35C4">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w:t>
      </w:r>
    </w:p>
    <w:p w14:paraId="00952D30">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投标人名称（加盖公章）：____________________</w:t>
      </w:r>
    </w:p>
    <w:p w14:paraId="170ACA74">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法定代表人/负责人（签字或盖章）：____________________</w:t>
      </w:r>
    </w:p>
    <w:p w14:paraId="7B5E5170">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日期：______年____月____日</w:t>
      </w:r>
    </w:p>
    <w:p w14:paraId="69690568">
      <w:pPr>
        <w:pStyle w:val="6"/>
        <w:rPr>
          <w:rFonts w:hint="eastAsia" w:ascii="宋体" w:hAnsi="宋体" w:eastAsia="宋体" w:cs="宋体"/>
          <w:color w:val="auto"/>
          <w:sz w:val="28"/>
          <w:szCs w:val="28"/>
          <w:lang w:val="en-US" w:eastAsia="zh-CN"/>
        </w:rPr>
      </w:pPr>
    </w:p>
    <w:p w14:paraId="081CAC35">
      <w:pPr>
        <w:bidi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5.供应商在院内议价之日前未被列入“信用中国”网站“失信被执行人”、“重大税收违法失信主体”、“政府采购严重违法失信行为记录名单”，未被列入中国政府采购网“政府采购严重违法失信行为信息记录名单”，采购人将按照以上条款对参与各供应商的信用信息进行查询，有不良记录的其院内议价将被拒绝。</w:t>
      </w:r>
    </w:p>
    <w:p w14:paraId="3B5DD59F">
      <w:pPr>
        <w:rPr>
          <w:rFonts w:hint="eastAsia" w:ascii="宋体" w:hAnsi="宋体" w:eastAsia="宋体" w:cs="宋体"/>
          <w:color w:val="auto"/>
          <w:sz w:val="28"/>
          <w:szCs w:val="28"/>
          <w:lang w:val="en-US" w:eastAsia="zh-CN"/>
        </w:rPr>
      </w:pPr>
    </w:p>
    <w:p w14:paraId="48C5D5B2">
      <w:pPr>
        <w:numPr>
          <w:ilvl w:val="0"/>
          <w:numId w:val="0"/>
        </w:numPr>
        <w:ind w:leftChars="200"/>
        <w:rPr>
          <w:rFonts w:hint="eastAsia" w:ascii="宋体" w:hAnsi="宋体" w:eastAsia="宋体" w:cs="宋体"/>
          <w:color w:val="auto"/>
          <w:sz w:val="28"/>
          <w:szCs w:val="28"/>
          <w:lang w:val="en-US" w:eastAsia="zh-CN"/>
        </w:rPr>
      </w:pPr>
      <w:r>
        <w:rPr>
          <w:rFonts w:hint="eastAsia" w:ascii="宋体" w:hAnsi="宋体" w:cs="宋体"/>
          <w:b/>
          <w:bCs/>
          <w:color w:val="auto"/>
          <w:sz w:val="28"/>
          <w:szCs w:val="28"/>
          <w:lang w:val="en-US" w:eastAsia="zh-CN"/>
        </w:rPr>
        <w:t>6.报价表：</w:t>
      </w:r>
      <w:r>
        <w:rPr>
          <w:rFonts w:hint="eastAsia" w:ascii="宋体" w:hAnsi="宋体" w:eastAsia="宋体" w:cs="宋体"/>
          <w:color w:val="auto"/>
          <w:sz w:val="28"/>
          <w:szCs w:val="28"/>
          <w:lang w:val="en-US" w:eastAsia="zh-CN"/>
        </w:rPr>
        <w:t>需包含采购内容所列项目（格式自拟）。</w:t>
      </w:r>
    </w:p>
    <w:p w14:paraId="25F8BACC">
      <w:pPr>
        <w:numPr>
          <w:ilvl w:val="0"/>
          <w:numId w:val="0"/>
        </w:numPr>
        <w:ind w:leftChars="20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7. 无围标串标行为的承诺函。</w:t>
      </w:r>
    </w:p>
    <w:p w14:paraId="443C9EFF">
      <w:pPr>
        <w:pStyle w:val="6"/>
        <w:rPr>
          <w:rFonts w:hint="eastAsia" w:ascii="仿宋" w:hAnsi="仿宋" w:eastAsia="仿宋" w:cs="仿宋"/>
        </w:rPr>
      </w:pPr>
    </w:p>
    <w:p w14:paraId="7166F88E">
      <w:pPr>
        <w:pStyle w:val="2"/>
        <w:bidi w:val="0"/>
        <w:ind w:firstLine="3840" w:firstLineChars="1200"/>
        <w:rPr>
          <w:rFonts w:hint="eastAsia" w:ascii="仿宋" w:hAnsi="仿宋" w:eastAsia="仿宋" w:cs="仿宋"/>
          <w:b w:val="0"/>
          <w:bCs w:val="0"/>
          <w:color w:val="auto"/>
          <w:kern w:val="0"/>
          <w:szCs w:val="32"/>
          <w:highlight w:val="none"/>
        </w:rPr>
      </w:pPr>
      <w:r>
        <w:rPr>
          <w:rFonts w:hint="eastAsia" w:ascii="仿宋" w:hAnsi="仿宋" w:eastAsia="仿宋" w:cs="仿宋"/>
        </w:rPr>
        <w:t>承诺函</w:t>
      </w:r>
    </w:p>
    <w:p w14:paraId="6DB879E6">
      <w:pPr>
        <w:bidi w:val="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腾冲市人民医院：</w:t>
      </w:r>
    </w:p>
    <w:p w14:paraId="3B95489D">
      <w:pPr>
        <w:bidi w:val="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我公司</w:t>
      </w:r>
      <w:r>
        <w:rPr>
          <w:rFonts w:hint="eastAsia" w:ascii="仿宋" w:hAnsi="仿宋" w:eastAsia="仿宋" w:cs="仿宋"/>
          <w:sz w:val="24"/>
          <w:szCs w:val="24"/>
        </w:rPr>
        <w:t>（</w:t>
      </w:r>
      <w:r>
        <w:rPr>
          <w:rFonts w:hint="eastAsia" w:ascii="仿宋" w:hAnsi="仿宋" w:eastAsia="仿宋" w:cs="仿宋"/>
          <w:sz w:val="24"/>
          <w:szCs w:val="24"/>
          <w:lang w:val="en-US" w:eastAsia="zh-CN"/>
        </w:rPr>
        <w:t>投标人名称</w:t>
      </w:r>
      <w:r>
        <w:rPr>
          <w:rFonts w:hint="eastAsia" w:ascii="仿宋" w:hAnsi="仿宋" w:eastAsia="仿宋" w:cs="仿宋"/>
          <w:sz w:val="24"/>
          <w:szCs w:val="24"/>
        </w:rPr>
        <w:t>）</w:t>
      </w:r>
      <w:r>
        <w:rPr>
          <w:rFonts w:hint="eastAsia" w:ascii="仿宋" w:hAnsi="仿宋" w:eastAsia="仿宋" w:cs="仿宋"/>
          <w:sz w:val="24"/>
          <w:szCs w:val="24"/>
          <w:lang w:val="en-US" w:eastAsia="zh-CN"/>
        </w:rPr>
        <w:t>参加</w:t>
      </w:r>
      <w:r>
        <w:rPr>
          <w:rFonts w:hint="eastAsia" w:ascii="仿宋" w:hAnsi="仿宋" w:eastAsia="仿宋" w:cs="仿宋"/>
          <w:sz w:val="24"/>
          <w:szCs w:val="24"/>
        </w:rPr>
        <w:t>（</w:t>
      </w:r>
      <w:r>
        <w:rPr>
          <w:rFonts w:hint="eastAsia" w:ascii="仿宋" w:hAnsi="仿宋" w:eastAsia="仿宋" w:cs="仿宋"/>
          <w:sz w:val="24"/>
          <w:szCs w:val="24"/>
          <w:lang w:eastAsia="zh-CN"/>
        </w:rPr>
        <w:t>项目名称、标段号</w:t>
      </w:r>
      <w:r>
        <w:rPr>
          <w:rFonts w:hint="eastAsia" w:ascii="仿宋" w:hAnsi="仿宋" w:eastAsia="仿宋" w:cs="仿宋"/>
          <w:sz w:val="24"/>
          <w:szCs w:val="24"/>
        </w:rPr>
        <w:t>）</w:t>
      </w:r>
      <w:r>
        <w:rPr>
          <w:rFonts w:hint="eastAsia" w:ascii="仿宋" w:hAnsi="仿宋" w:eastAsia="仿宋" w:cs="仿宋"/>
          <w:sz w:val="24"/>
          <w:szCs w:val="24"/>
          <w:lang w:val="en-US" w:eastAsia="zh-CN"/>
        </w:rPr>
        <w:t>的投标活动，我公司承诺不存在以下情形：</w:t>
      </w:r>
    </w:p>
    <w:p w14:paraId="57FFAECA">
      <w:pPr>
        <w:bidi w:val="0"/>
        <w:rPr>
          <w:rFonts w:hint="eastAsia" w:ascii="仿宋" w:hAnsi="仿宋" w:eastAsia="仿宋" w:cs="仿宋"/>
          <w:sz w:val="24"/>
          <w:szCs w:val="24"/>
        </w:rPr>
      </w:pPr>
      <w:r>
        <w:rPr>
          <w:rFonts w:hint="eastAsia" w:ascii="仿宋" w:hAnsi="仿宋" w:eastAsia="仿宋" w:cs="仿宋"/>
          <w:sz w:val="24"/>
          <w:szCs w:val="24"/>
        </w:rPr>
        <w:t>（一）投标人直接或者间接从采购人或者采购代理机构处获得其他投标人的相关情况并修改其投标文件或者响应文件；</w:t>
      </w:r>
    </w:p>
    <w:p w14:paraId="157860F8">
      <w:pPr>
        <w:bidi w:val="0"/>
        <w:rPr>
          <w:rFonts w:hint="eastAsia" w:ascii="仿宋" w:hAnsi="仿宋" w:eastAsia="仿宋" w:cs="仿宋"/>
          <w:sz w:val="24"/>
          <w:szCs w:val="24"/>
        </w:rPr>
      </w:pPr>
      <w:r>
        <w:rPr>
          <w:rFonts w:hint="eastAsia" w:ascii="仿宋" w:hAnsi="仿宋" w:eastAsia="仿宋" w:cs="仿宋"/>
          <w:sz w:val="24"/>
          <w:szCs w:val="24"/>
        </w:rPr>
        <w:t>（二）投标人按照采购人或者采购代理机构的授意撤换</w:t>
      </w:r>
      <w:r>
        <w:rPr>
          <w:rFonts w:hint="eastAsia" w:ascii="仿宋" w:hAnsi="仿宋" w:eastAsia="仿宋" w:cs="仿宋"/>
          <w:sz w:val="24"/>
          <w:szCs w:val="24"/>
          <w:lang w:eastAsia="zh-CN"/>
        </w:rPr>
        <w:t>、</w:t>
      </w:r>
      <w:r>
        <w:rPr>
          <w:rFonts w:hint="eastAsia" w:ascii="仿宋" w:hAnsi="仿宋" w:eastAsia="仿宋" w:cs="仿宋"/>
          <w:sz w:val="24"/>
          <w:szCs w:val="24"/>
        </w:rPr>
        <w:t>修改投标文件或者响应文件；</w:t>
      </w:r>
    </w:p>
    <w:p w14:paraId="40DC0A28">
      <w:pPr>
        <w:bidi w:val="0"/>
        <w:rPr>
          <w:rFonts w:hint="eastAsia" w:ascii="仿宋" w:hAnsi="仿宋" w:eastAsia="仿宋" w:cs="仿宋"/>
          <w:sz w:val="24"/>
          <w:szCs w:val="24"/>
        </w:rPr>
      </w:pPr>
      <w:r>
        <w:rPr>
          <w:rFonts w:hint="eastAsia" w:ascii="仿宋" w:hAnsi="仿宋" w:eastAsia="仿宋" w:cs="仿宋"/>
          <w:sz w:val="24"/>
          <w:szCs w:val="24"/>
        </w:rPr>
        <w:t>（三）投标人之间协商报价</w:t>
      </w:r>
      <w:r>
        <w:rPr>
          <w:rFonts w:hint="eastAsia" w:ascii="仿宋" w:hAnsi="仿宋" w:eastAsia="仿宋" w:cs="仿宋"/>
          <w:sz w:val="24"/>
          <w:szCs w:val="24"/>
          <w:lang w:eastAsia="zh-CN"/>
        </w:rPr>
        <w:t>、</w:t>
      </w:r>
      <w:r>
        <w:rPr>
          <w:rFonts w:hint="eastAsia" w:ascii="仿宋" w:hAnsi="仿宋" w:eastAsia="仿宋" w:cs="仿宋"/>
          <w:sz w:val="24"/>
          <w:szCs w:val="24"/>
        </w:rPr>
        <w:t>技术方案等投标文件或者响应文件的实质性内容；</w:t>
      </w:r>
    </w:p>
    <w:p w14:paraId="6D52ED41">
      <w:pPr>
        <w:bidi w:val="0"/>
        <w:rPr>
          <w:rFonts w:hint="eastAsia" w:ascii="仿宋" w:hAnsi="仿宋" w:eastAsia="仿宋" w:cs="仿宋"/>
          <w:sz w:val="24"/>
          <w:szCs w:val="24"/>
        </w:rPr>
      </w:pPr>
      <w:r>
        <w:rPr>
          <w:rFonts w:hint="eastAsia" w:ascii="仿宋" w:hAnsi="仿宋" w:eastAsia="仿宋" w:cs="仿宋"/>
          <w:sz w:val="24"/>
          <w:szCs w:val="24"/>
        </w:rPr>
        <w:t>（四）属于同一集团</w:t>
      </w:r>
      <w:r>
        <w:rPr>
          <w:rFonts w:hint="eastAsia" w:ascii="仿宋" w:hAnsi="仿宋" w:eastAsia="仿宋" w:cs="仿宋"/>
          <w:sz w:val="24"/>
          <w:szCs w:val="24"/>
          <w:lang w:eastAsia="zh-CN"/>
        </w:rPr>
        <w:t>、</w:t>
      </w:r>
      <w:r>
        <w:rPr>
          <w:rFonts w:hint="eastAsia" w:ascii="仿宋" w:hAnsi="仿宋" w:eastAsia="仿宋" w:cs="仿宋"/>
          <w:sz w:val="24"/>
          <w:szCs w:val="24"/>
        </w:rPr>
        <w:t>协会</w:t>
      </w:r>
      <w:r>
        <w:rPr>
          <w:rFonts w:hint="eastAsia" w:ascii="仿宋" w:hAnsi="仿宋" w:eastAsia="仿宋" w:cs="仿宋"/>
          <w:sz w:val="24"/>
          <w:szCs w:val="24"/>
          <w:lang w:eastAsia="zh-CN"/>
        </w:rPr>
        <w:t>、</w:t>
      </w:r>
      <w:r>
        <w:rPr>
          <w:rFonts w:hint="eastAsia" w:ascii="仿宋" w:hAnsi="仿宋" w:eastAsia="仿宋" w:cs="仿宋"/>
          <w:sz w:val="24"/>
          <w:szCs w:val="24"/>
        </w:rPr>
        <w:t>商会等组织成员的投标人按照该组织要求协同参加政府采购活动；</w:t>
      </w:r>
    </w:p>
    <w:p w14:paraId="270677BF">
      <w:pPr>
        <w:bidi w:val="0"/>
        <w:rPr>
          <w:rFonts w:hint="eastAsia" w:ascii="仿宋" w:hAnsi="仿宋" w:eastAsia="仿宋" w:cs="仿宋"/>
          <w:sz w:val="24"/>
          <w:szCs w:val="24"/>
        </w:rPr>
      </w:pPr>
      <w:r>
        <w:rPr>
          <w:rFonts w:hint="eastAsia" w:ascii="仿宋" w:hAnsi="仿宋" w:eastAsia="仿宋" w:cs="仿宋"/>
          <w:sz w:val="24"/>
          <w:szCs w:val="24"/>
        </w:rPr>
        <w:t>（五）投标人之间事先约定由某一特定投标人</w:t>
      </w:r>
      <w:r>
        <w:rPr>
          <w:rFonts w:hint="eastAsia" w:ascii="仿宋" w:hAnsi="仿宋" w:eastAsia="仿宋" w:cs="仿宋"/>
          <w:sz w:val="24"/>
          <w:szCs w:val="24"/>
          <w:lang w:eastAsia="zh-CN"/>
        </w:rPr>
        <w:t>中标</w:t>
      </w:r>
      <w:r>
        <w:rPr>
          <w:rFonts w:hint="eastAsia" w:ascii="仿宋" w:hAnsi="仿宋" w:eastAsia="仿宋" w:cs="仿宋"/>
          <w:sz w:val="24"/>
          <w:szCs w:val="24"/>
        </w:rPr>
        <w:t>；</w:t>
      </w:r>
    </w:p>
    <w:p w14:paraId="26F924BF">
      <w:pPr>
        <w:bidi w:val="0"/>
        <w:rPr>
          <w:rFonts w:hint="eastAsia" w:ascii="仿宋" w:hAnsi="仿宋" w:eastAsia="仿宋" w:cs="仿宋"/>
          <w:sz w:val="24"/>
          <w:szCs w:val="24"/>
        </w:rPr>
      </w:pPr>
      <w:r>
        <w:rPr>
          <w:rFonts w:hint="eastAsia" w:ascii="仿宋" w:hAnsi="仿宋" w:eastAsia="仿宋" w:cs="仿宋"/>
          <w:sz w:val="24"/>
          <w:szCs w:val="24"/>
        </w:rPr>
        <w:t>（六）投标人之间商定部分投标人放弃参加政府采购活动或者放弃</w:t>
      </w:r>
      <w:r>
        <w:rPr>
          <w:rFonts w:hint="eastAsia" w:ascii="仿宋" w:hAnsi="仿宋" w:eastAsia="仿宋" w:cs="仿宋"/>
          <w:sz w:val="24"/>
          <w:szCs w:val="24"/>
          <w:lang w:eastAsia="zh-CN"/>
        </w:rPr>
        <w:t>中标</w:t>
      </w:r>
      <w:r>
        <w:rPr>
          <w:rFonts w:hint="eastAsia" w:ascii="仿宋" w:hAnsi="仿宋" w:eastAsia="仿宋" w:cs="仿宋"/>
          <w:sz w:val="24"/>
          <w:szCs w:val="24"/>
        </w:rPr>
        <w:t>；</w:t>
      </w:r>
    </w:p>
    <w:p w14:paraId="5462D307">
      <w:pPr>
        <w:bidi w:val="0"/>
        <w:rPr>
          <w:rFonts w:hint="eastAsia" w:ascii="仿宋" w:hAnsi="仿宋" w:eastAsia="仿宋" w:cs="仿宋"/>
          <w:sz w:val="24"/>
          <w:szCs w:val="24"/>
        </w:rPr>
      </w:pPr>
      <w:r>
        <w:rPr>
          <w:rFonts w:hint="eastAsia" w:ascii="仿宋" w:hAnsi="仿宋" w:eastAsia="仿宋" w:cs="仿宋"/>
          <w:sz w:val="24"/>
          <w:szCs w:val="24"/>
        </w:rPr>
        <w:t>（七）投标人与采购人或者采购代理机构之间</w:t>
      </w:r>
      <w:r>
        <w:rPr>
          <w:rFonts w:hint="eastAsia" w:ascii="仿宋" w:hAnsi="仿宋" w:eastAsia="仿宋" w:cs="仿宋"/>
          <w:sz w:val="24"/>
          <w:szCs w:val="24"/>
          <w:lang w:eastAsia="zh-CN"/>
        </w:rPr>
        <w:t>、</w:t>
      </w:r>
      <w:r>
        <w:rPr>
          <w:rFonts w:hint="eastAsia" w:ascii="仿宋" w:hAnsi="仿宋" w:eastAsia="仿宋" w:cs="仿宋"/>
          <w:sz w:val="24"/>
          <w:szCs w:val="24"/>
        </w:rPr>
        <w:t>投标人相互之间，为谋求特定投标人</w:t>
      </w:r>
      <w:r>
        <w:rPr>
          <w:rFonts w:hint="eastAsia" w:ascii="仿宋" w:hAnsi="仿宋" w:eastAsia="仿宋" w:cs="仿宋"/>
          <w:sz w:val="24"/>
          <w:szCs w:val="24"/>
          <w:lang w:eastAsia="zh-CN"/>
        </w:rPr>
        <w:t>中标</w:t>
      </w:r>
      <w:r>
        <w:rPr>
          <w:rFonts w:hint="eastAsia" w:ascii="仿宋" w:hAnsi="仿宋" w:eastAsia="仿宋" w:cs="仿宋"/>
          <w:sz w:val="24"/>
          <w:szCs w:val="24"/>
        </w:rPr>
        <w:t>或者排斥其他投标人的其他串通行为。</w:t>
      </w:r>
    </w:p>
    <w:p w14:paraId="17094A7B">
      <w:pPr>
        <w:bidi w:val="0"/>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八</w:t>
      </w:r>
      <w:r>
        <w:rPr>
          <w:rFonts w:hint="eastAsia" w:ascii="仿宋" w:hAnsi="仿宋" w:eastAsia="仿宋" w:cs="仿宋"/>
          <w:sz w:val="24"/>
          <w:szCs w:val="24"/>
        </w:rPr>
        <w:t>）不同投标人的投标文件由同一单位或者个人编制；</w:t>
      </w:r>
    </w:p>
    <w:p w14:paraId="116E44AA">
      <w:pPr>
        <w:bidi w:val="0"/>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九</w:t>
      </w:r>
      <w:r>
        <w:rPr>
          <w:rFonts w:hint="eastAsia" w:ascii="仿宋" w:hAnsi="仿宋" w:eastAsia="仿宋" w:cs="仿宋"/>
          <w:sz w:val="24"/>
          <w:szCs w:val="24"/>
        </w:rPr>
        <w:t>）不同投标人委托同一单位或者个人办理投标事宜；</w:t>
      </w:r>
    </w:p>
    <w:p w14:paraId="024BFF96">
      <w:pPr>
        <w:bidi w:val="0"/>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十</w:t>
      </w:r>
      <w:r>
        <w:rPr>
          <w:rFonts w:hint="eastAsia" w:ascii="仿宋" w:hAnsi="仿宋" w:eastAsia="仿宋" w:cs="仿宋"/>
          <w:sz w:val="24"/>
          <w:szCs w:val="24"/>
        </w:rPr>
        <w:t>）不同投标人的投标文件载明的项目管理成员或者联系人员为同一人；</w:t>
      </w:r>
    </w:p>
    <w:p w14:paraId="0FBB4D20">
      <w:pPr>
        <w:bidi w:val="0"/>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十一</w:t>
      </w:r>
      <w:r>
        <w:rPr>
          <w:rFonts w:hint="eastAsia" w:ascii="仿宋" w:hAnsi="仿宋" w:eastAsia="仿宋" w:cs="仿宋"/>
          <w:sz w:val="24"/>
          <w:szCs w:val="24"/>
        </w:rPr>
        <w:t>）不同投标人的投标文件异常一致或者投标报价呈规律性差异；</w:t>
      </w:r>
    </w:p>
    <w:p w14:paraId="3BECDC20">
      <w:pPr>
        <w:bidi w:val="0"/>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十二</w:t>
      </w:r>
      <w:r>
        <w:rPr>
          <w:rFonts w:hint="eastAsia" w:ascii="仿宋" w:hAnsi="仿宋" w:eastAsia="仿宋" w:cs="仿宋"/>
          <w:sz w:val="24"/>
          <w:szCs w:val="24"/>
        </w:rPr>
        <w:t>）不同投标人的投标文件相互混装；</w:t>
      </w:r>
    </w:p>
    <w:p w14:paraId="56291D29">
      <w:pPr>
        <w:bidi w:val="0"/>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若我公司</w:t>
      </w:r>
      <w:r>
        <w:rPr>
          <w:rFonts w:hint="eastAsia" w:ascii="仿宋" w:hAnsi="仿宋" w:eastAsia="仿宋" w:cs="仿宋"/>
          <w:b/>
          <w:bCs/>
          <w:sz w:val="24"/>
          <w:szCs w:val="24"/>
        </w:rPr>
        <w:t>存在上</w:t>
      </w:r>
      <w:r>
        <w:rPr>
          <w:rFonts w:hint="eastAsia" w:ascii="仿宋" w:hAnsi="仿宋" w:eastAsia="仿宋" w:cs="仿宋"/>
          <w:b/>
          <w:bCs/>
          <w:sz w:val="24"/>
          <w:szCs w:val="24"/>
          <w:lang w:val="en-US" w:eastAsia="zh-CN"/>
        </w:rPr>
        <w:t>述情形，按无效响应文件处理；贵单位有权</w:t>
      </w:r>
      <w:r>
        <w:rPr>
          <w:rFonts w:hint="eastAsia" w:ascii="仿宋" w:hAnsi="仿宋" w:eastAsia="仿宋" w:cs="仿宋"/>
          <w:b/>
          <w:bCs/>
          <w:sz w:val="24"/>
          <w:szCs w:val="24"/>
        </w:rPr>
        <w:t>依照政府采购法</w:t>
      </w:r>
      <w:r>
        <w:rPr>
          <w:rFonts w:hint="eastAsia" w:ascii="仿宋" w:hAnsi="仿宋" w:eastAsia="仿宋" w:cs="仿宋"/>
          <w:b/>
          <w:bCs/>
          <w:sz w:val="24"/>
          <w:szCs w:val="24"/>
          <w:lang w:val="en-US" w:eastAsia="zh-CN"/>
        </w:rPr>
        <w:t>及相关法律法规追究我公司</w:t>
      </w:r>
      <w:r>
        <w:rPr>
          <w:rFonts w:hint="eastAsia" w:ascii="仿宋" w:hAnsi="仿宋" w:eastAsia="仿宋" w:cs="仿宋"/>
          <w:b/>
          <w:bCs/>
          <w:sz w:val="24"/>
          <w:szCs w:val="24"/>
        </w:rPr>
        <w:t>法律责任，</w:t>
      </w:r>
      <w:r>
        <w:rPr>
          <w:rFonts w:hint="eastAsia" w:ascii="仿宋" w:hAnsi="仿宋" w:eastAsia="仿宋" w:cs="仿宋"/>
          <w:b/>
          <w:bCs/>
          <w:sz w:val="24"/>
          <w:szCs w:val="24"/>
          <w:lang w:val="en-US" w:eastAsia="zh-CN"/>
        </w:rPr>
        <w:t>由此造成的经济损失由我公司承担。</w:t>
      </w:r>
    </w:p>
    <w:p w14:paraId="5FFA7AEC">
      <w:pPr>
        <w:bidi w:val="0"/>
        <w:rPr>
          <w:rFonts w:hint="eastAsia" w:ascii="仿宋" w:hAnsi="仿宋" w:eastAsia="仿宋" w:cs="仿宋"/>
          <w:b/>
          <w:bCs/>
          <w:sz w:val="24"/>
          <w:szCs w:val="24"/>
          <w:lang w:val="en-US" w:eastAsia="zh-CN"/>
        </w:rPr>
      </w:pPr>
    </w:p>
    <w:p w14:paraId="4EC0D27E">
      <w:pPr>
        <w:bidi w:val="0"/>
        <w:rPr>
          <w:sz w:val="24"/>
          <w:szCs w:val="24"/>
        </w:rPr>
      </w:pPr>
      <w:r>
        <w:rPr>
          <w:rFonts w:hint="eastAsia" w:ascii="仿宋" w:hAnsi="仿宋" w:eastAsia="仿宋" w:cs="仿宋"/>
          <w:sz w:val="24"/>
          <w:szCs w:val="24"/>
          <w:lang w:val="en-US" w:eastAsia="zh-CN"/>
        </w:rPr>
        <w:t>★注：以上材料按要求签字、每页加盖公章并按顺序排版（本项目需提交装订成册纸质版（</w:t>
      </w:r>
      <w:r>
        <w:rPr>
          <w:rFonts w:hint="eastAsia" w:ascii="仿宋" w:hAnsi="仿宋" w:cs="仿宋"/>
          <w:sz w:val="24"/>
          <w:szCs w:val="24"/>
          <w:lang w:val="en-US" w:eastAsia="zh-CN"/>
        </w:rPr>
        <w:t>正本1</w:t>
      </w:r>
      <w:r>
        <w:rPr>
          <w:rFonts w:hint="eastAsia" w:ascii="仿宋" w:hAnsi="仿宋" w:eastAsia="仿宋" w:cs="仿宋"/>
          <w:sz w:val="24"/>
          <w:szCs w:val="24"/>
          <w:lang w:val="en-US" w:eastAsia="zh-CN"/>
        </w:rPr>
        <w:t>本）及U盘（</w:t>
      </w:r>
      <w:r>
        <w:rPr>
          <w:rFonts w:hint="eastAsia" w:ascii="仿宋" w:hAnsi="仿宋" w:eastAsia="仿宋" w:cs="仿宋"/>
          <w:b/>
          <w:bCs/>
          <w:sz w:val="24"/>
          <w:szCs w:val="24"/>
          <w:lang w:val="en-US" w:eastAsia="zh-CN"/>
        </w:rPr>
        <w:t>正本扫描件1份</w:t>
      </w:r>
      <w:r>
        <w:rPr>
          <w:rFonts w:hint="eastAsia" w:ascii="仿宋" w:hAnsi="仿宋" w:eastAsia="仿宋" w:cs="仿宋"/>
          <w:sz w:val="24"/>
          <w:szCs w:val="24"/>
          <w:lang w:val="en-US" w:eastAsia="zh-CN"/>
        </w:rPr>
        <w:t>PDF格式）放置于密封袋并加盖公章。）</w:t>
      </w: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EE32390-78AB-4AEC-94D1-60245C2C145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0CE3DCAB-4AD6-49F5-8500-CBEE10B44FF8}"/>
  </w:font>
  <w:font w:name="仿宋">
    <w:panose1 w:val="02010609060101010101"/>
    <w:charset w:val="86"/>
    <w:family w:val="auto"/>
    <w:pitch w:val="default"/>
    <w:sig w:usb0="800002BF" w:usb1="38CF7CFA" w:usb2="00000016" w:usb3="00000000" w:csb0="00040001" w:csb1="00000000"/>
    <w:embedRegular r:id="rId3" w:fontKey="{21E56EBC-F9CA-4B51-BFDE-FFC349BC1C4D}"/>
  </w:font>
  <w:font w:name="仿宋_GB2312">
    <w:panose1 w:val="02010609030101010101"/>
    <w:charset w:val="86"/>
    <w:family w:val="auto"/>
    <w:pitch w:val="default"/>
    <w:sig w:usb0="00000001" w:usb1="080E0000" w:usb2="00000000" w:usb3="00000000" w:csb0="00040000" w:csb1="00000000"/>
    <w:embedRegular r:id="rId4" w:fontKey="{C1670A0C-EC14-42EB-9534-2016C1E6C93E}"/>
  </w:font>
  <w:font w:name="方正公文小标宋">
    <w:altName w:val="宋体"/>
    <w:panose1 w:val="02000500000000000000"/>
    <w:charset w:val="86"/>
    <w:family w:val="auto"/>
    <w:pitch w:val="default"/>
    <w:sig w:usb0="00000000" w:usb1="00000000"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727FA1">
    <w:pPr>
      <w:spacing w:line="210" w:lineRule="auto"/>
      <w:ind w:left="804"/>
      <w:rPr>
        <w:rFonts w:ascii="宋体" w:hAnsi="宋体" w:eastAsia="宋体" w:cs="宋体"/>
        <w:sz w:val="17"/>
        <w:szCs w:val="17"/>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66BCD6"/>
    <w:multiLevelType w:val="singleLevel"/>
    <w:tmpl w:val="8966BCD6"/>
    <w:lvl w:ilvl="0" w:tentative="0">
      <w:start w:val="1"/>
      <w:numFmt w:val="decimal"/>
      <w:suff w:val="space"/>
      <w:lvlText w:val="(%1)"/>
      <w:lvlJc w:val="left"/>
      <w:pPr>
        <w:ind w:left="425" w:hanging="425"/>
      </w:pPr>
      <w:rPr>
        <w:rFonts w:hint="default"/>
      </w:rPr>
    </w:lvl>
  </w:abstractNum>
  <w:abstractNum w:abstractNumId="1">
    <w:nsid w:val="BB98B9AC"/>
    <w:multiLevelType w:val="singleLevel"/>
    <w:tmpl w:val="BB98B9AC"/>
    <w:lvl w:ilvl="0" w:tentative="0">
      <w:start w:val="1"/>
      <w:numFmt w:val="decimal"/>
      <w:suff w:val="space"/>
      <w:lvlText w:val="(%1)"/>
      <w:lvlJc w:val="left"/>
      <w:pPr>
        <w:ind w:left="425" w:hanging="425"/>
      </w:pPr>
      <w:rPr>
        <w:rFonts w:hint="default"/>
      </w:rPr>
    </w:lvl>
  </w:abstractNum>
  <w:abstractNum w:abstractNumId="2">
    <w:nsid w:val="BEF868D2"/>
    <w:multiLevelType w:val="singleLevel"/>
    <w:tmpl w:val="BEF868D2"/>
    <w:lvl w:ilvl="0" w:tentative="0">
      <w:start w:val="1"/>
      <w:numFmt w:val="decimal"/>
      <w:lvlText w:val="(%1)"/>
      <w:lvlJc w:val="left"/>
      <w:pPr>
        <w:ind w:left="425" w:hanging="425"/>
      </w:pPr>
      <w:rPr>
        <w:rFonts w:hint="default"/>
      </w:rPr>
    </w:lvl>
  </w:abstractNum>
  <w:abstractNum w:abstractNumId="3">
    <w:nsid w:val="2F7F2AA9"/>
    <w:multiLevelType w:val="singleLevel"/>
    <w:tmpl w:val="2F7F2AA9"/>
    <w:lvl w:ilvl="0" w:tentative="0">
      <w:start w:val="1"/>
      <w:numFmt w:val="decimal"/>
      <w:suff w:val="space"/>
      <w:lvlText w:val="(%1)"/>
      <w:lvlJc w:val="left"/>
      <w:pPr>
        <w:ind w:left="425" w:hanging="425"/>
      </w:pPr>
      <w:rPr>
        <w:rFonts w:hint="default"/>
      </w:rPr>
    </w:lvl>
  </w:abstractNum>
  <w:abstractNum w:abstractNumId="4">
    <w:nsid w:val="439F206C"/>
    <w:multiLevelType w:val="singleLevel"/>
    <w:tmpl w:val="439F206C"/>
    <w:lvl w:ilvl="0" w:tentative="0">
      <w:start w:val="1"/>
      <w:numFmt w:val="decimal"/>
      <w:suff w:val="space"/>
      <w:lvlText w:val="(%1)"/>
      <w:lvlJc w:val="left"/>
      <w:pPr>
        <w:ind w:left="425" w:hanging="425"/>
      </w:pPr>
      <w:rPr>
        <w:rFonts w:hint="default"/>
      </w:rPr>
    </w:lvl>
  </w:abstractNum>
  <w:abstractNum w:abstractNumId="5">
    <w:nsid w:val="459209F9"/>
    <w:multiLevelType w:val="singleLevel"/>
    <w:tmpl w:val="459209F9"/>
    <w:lvl w:ilvl="0" w:tentative="0">
      <w:start w:val="1"/>
      <w:numFmt w:val="decimal"/>
      <w:lvlText w:val="%1."/>
      <w:lvlJc w:val="left"/>
      <w:pPr>
        <w:ind w:left="425" w:hanging="425"/>
      </w:pPr>
      <w:rPr>
        <w:rFonts w:hint="default"/>
      </w:rPr>
    </w:lvl>
  </w:abstractNum>
  <w:abstractNum w:abstractNumId="6">
    <w:nsid w:val="5B0F2E72"/>
    <w:multiLevelType w:val="singleLevel"/>
    <w:tmpl w:val="5B0F2E72"/>
    <w:lvl w:ilvl="0" w:tentative="0">
      <w:start w:val="1"/>
      <w:numFmt w:val="decimal"/>
      <w:lvlText w:val="(%1)"/>
      <w:lvlJc w:val="left"/>
      <w:pPr>
        <w:ind w:left="425" w:hanging="425"/>
      </w:pPr>
      <w:rPr>
        <w:rFonts w:hint="default"/>
        <w:color w:val="auto"/>
      </w:rPr>
    </w:lvl>
  </w:abstractNum>
  <w:abstractNum w:abstractNumId="7">
    <w:nsid w:val="64286F41"/>
    <w:multiLevelType w:val="singleLevel"/>
    <w:tmpl w:val="64286F41"/>
    <w:lvl w:ilvl="0" w:tentative="0">
      <w:start w:val="1"/>
      <w:numFmt w:val="decimal"/>
      <w:suff w:val="space"/>
      <w:lvlText w:val="(%1)"/>
      <w:lvlJc w:val="left"/>
      <w:pPr>
        <w:ind w:left="425" w:hanging="425"/>
      </w:pPr>
      <w:rPr>
        <w:rFonts w:hint="default"/>
      </w:rPr>
    </w:lvl>
  </w:abstractNum>
  <w:abstractNum w:abstractNumId="8">
    <w:nsid w:val="6F0F5576"/>
    <w:multiLevelType w:val="singleLevel"/>
    <w:tmpl w:val="6F0F5576"/>
    <w:lvl w:ilvl="0" w:tentative="0">
      <w:start w:val="1"/>
      <w:numFmt w:val="decimal"/>
      <w:lvlText w:val="%1."/>
      <w:lvlJc w:val="left"/>
      <w:pPr>
        <w:tabs>
          <w:tab w:val="left" w:pos="312"/>
        </w:tabs>
      </w:pPr>
    </w:lvl>
  </w:abstractNum>
  <w:num w:numId="1">
    <w:abstractNumId w:val="5"/>
  </w:num>
  <w:num w:numId="2">
    <w:abstractNumId w:val="7"/>
  </w:num>
  <w:num w:numId="3">
    <w:abstractNumId w:val="4"/>
  </w:num>
  <w:num w:numId="4">
    <w:abstractNumId w:val="0"/>
  </w:num>
  <w:num w:numId="5">
    <w:abstractNumId w:val="1"/>
  </w:num>
  <w:num w:numId="6">
    <w:abstractNumId w:val="3"/>
  </w:num>
  <w:num w:numId="7">
    <w:abstractNumId w:val="6"/>
  </w:num>
  <w:num w:numId="8">
    <w:abstractNumId w:val="2"/>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055A20"/>
    <w:rsid w:val="06097877"/>
    <w:rsid w:val="09D17AC5"/>
    <w:rsid w:val="0E333C32"/>
    <w:rsid w:val="10645539"/>
    <w:rsid w:val="16727E07"/>
    <w:rsid w:val="17101F77"/>
    <w:rsid w:val="18502F73"/>
    <w:rsid w:val="190450DB"/>
    <w:rsid w:val="190D676E"/>
    <w:rsid w:val="1C730FDE"/>
    <w:rsid w:val="1E326C77"/>
    <w:rsid w:val="1F9A4AD4"/>
    <w:rsid w:val="220A4192"/>
    <w:rsid w:val="22F15352"/>
    <w:rsid w:val="262C6A83"/>
    <w:rsid w:val="33EF31E8"/>
    <w:rsid w:val="3A033549"/>
    <w:rsid w:val="3DF21489"/>
    <w:rsid w:val="45D64208"/>
    <w:rsid w:val="4A471230"/>
    <w:rsid w:val="4B306168"/>
    <w:rsid w:val="4EC866B8"/>
    <w:rsid w:val="510C6D30"/>
    <w:rsid w:val="51570B66"/>
    <w:rsid w:val="54640C31"/>
    <w:rsid w:val="58B55EFF"/>
    <w:rsid w:val="59E22D24"/>
    <w:rsid w:val="609446D6"/>
    <w:rsid w:val="664803B2"/>
    <w:rsid w:val="6A18009C"/>
    <w:rsid w:val="6AFA59F3"/>
    <w:rsid w:val="6CD05367"/>
    <w:rsid w:val="6FBE4806"/>
    <w:rsid w:val="6FC81FE2"/>
    <w:rsid w:val="70545BA6"/>
    <w:rsid w:val="72225F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仿宋" w:cs="Times New Roman"/>
      <w:kern w:val="2"/>
      <w:sz w:val="21"/>
      <w:szCs w:val="24"/>
      <w:lang w:val="en-US" w:eastAsia="zh-CN" w:bidi="ar-SA"/>
    </w:rPr>
  </w:style>
  <w:style w:type="paragraph" w:styleId="2">
    <w:name w:val="heading 2"/>
    <w:basedOn w:val="1"/>
    <w:next w:val="1"/>
    <w:unhideWhenUsed/>
    <w:qFormat/>
    <w:uiPriority w:val="0"/>
    <w:pPr>
      <w:spacing w:before="100" w:beforeAutospacing="1" w:afterAutospacing="1" w:line="560" w:lineRule="exact"/>
      <w:ind w:firstLine="880" w:firstLineChars="200"/>
      <w:jc w:val="left"/>
      <w:outlineLvl w:val="1"/>
    </w:pPr>
    <w:rPr>
      <w:rFonts w:hint="eastAsia" w:ascii="宋体" w:hAnsi="宋体" w:eastAsia="黑体" w:cs="宋体"/>
      <w:kern w:val="0"/>
      <w:sz w:val="32"/>
      <w:szCs w:val="36"/>
      <w:lang w:bidi="ar"/>
    </w:rPr>
  </w:style>
  <w:style w:type="paragraph" w:styleId="3">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Body Text"/>
    <w:basedOn w:val="1"/>
    <w:next w:val="5"/>
    <w:qFormat/>
    <w:uiPriority w:val="0"/>
    <w:pPr>
      <w:spacing w:line="560" w:lineRule="exact"/>
      <w:ind w:firstLine="883" w:firstLineChars="200"/>
    </w:pPr>
    <w:rPr>
      <w:rFonts w:ascii="Calibri" w:hAnsi="Calibri" w:eastAsia="仿宋_GB2312"/>
      <w:sz w:val="32"/>
    </w:rPr>
  </w:style>
  <w:style w:type="paragraph" w:styleId="5">
    <w:name w:val="Date"/>
    <w:basedOn w:val="1"/>
    <w:next w:val="1"/>
    <w:qFormat/>
    <w:uiPriority w:val="0"/>
    <w:pPr>
      <w:ind w:left="100" w:leftChars="2500"/>
    </w:pPr>
  </w:style>
  <w:style w:type="paragraph" w:styleId="6">
    <w:name w:val="Plain Text"/>
    <w:basedOn w:val="1"/>
    <w:next w:val="1"/>
    <w:qFormat/>
    <w:uiPriority w:val="0"/>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font61"/>
    <w:basedOn w:val="9"/>
    <w:qFormat/>
    <w:uiPriority w:val="0"/>
    <w:rPr>
      <w:rFonts w:ascii="宋体" w:hAnsi="宋体" w:eastAsia="宋体" w:cs="宋体"/>
      <w:b/>
      <w:bCs/>
      <w:color w:val="000000"/>
      <w:sz w:val="36"/>
      <w:szCs w:val="36"/>
      <w:u w:val="none"/>
    </w:rPr>
  </w:style>
  <w:style w:type="character" w:customStyle="1" w:styleId="11">
    <w:name w:val="font71"/>
    <w:basedOn w:val="9"/>
    <w:qFormat/>
    <w:uiPriority w:val="0"/>
    <w:rPr>
      <w:rFonts w:ascii="宋体" w:hAnsi="宋体" w:eastAsia="宋体" w:cs="宋体"/>
      <w:color w:val="000000"/>
      <w:sz w:val="22"/>
      <w:szCs w:val="22"/>
      <w:u w:val="none"/>
    </w:rPr>
  </w:style>
  <w:style w:type="character" w:customStyle="1" w:styleId="12">
    <w:name w:val="font81"/>
    <w:basedOn w:val="9"/>
    <w:qFormat/>
    <w:uiPriority w:val="0"/>
    <w:rPr>
      <w:rFonts w:ascii="宋体" w:hAnsi="宋体" w:eastAsia="宋体" w:cs="宋体"/>
      <w:color w:val="000000"/>
      <w:sz w:val="26"/>
      <w:szCs w:val="26"/>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3425</Words>
  <Characters>3540</Characters>
  <Lines>0</Lines>
  <Paragraphs>0</Paragraphs>
  <TotalTime>0</TotalTime>
  <ScaleCrop>false</ScaleCrop>
  <LinksUpToDate>false</LinksUpToDate>
  <CharactersWithSpaces>3967</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2025-08-15T07:21:00Z</dcterms:created>
  <dc:creator>Administrator</dc:creator>
  <cp:lastModifiedBy>海底一粒沙</cp:lastModifiedBy>
  <dcterms:modified xsi:type="dcterms:W3CDTF">2025-09-10T00:56:43Z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KSOTemplateDocerSaveRecord">
    <vt:lpwstr>eyJoZGlkIjoiODU0NWZmZjMxNDc3Y2U3ODI1YmQ2Mzc4ODVhMjVhMjMiLCJ1c2VySWQiOiIxMTU2Njk0NjkyIn0=</vt:lpwstr>
  </property>
  <property fmtid="{D5CDD505-2E9C-101B-9397-08002B2CF9AE}" pid="4" name="ICV">
    <vt:lpwstr>3B9631A09E974330A52F45ED652A8204_12</vt:lpwstr>
  </property>
</Properties>
</file>