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E9B8">
      <w:pPr>
        <w:pStyle w:val="4"/>
        <w:pageBreakBefore w:val="0"/>
        <w:kinsoku/>
        <w:wordWrap/>
        <w:overflowPunct/>
        <w:topLinePunct w:val="0"/>
        <w:autoSpaceDE/>
        <w:autoSpaceDN/>
        <w:bidi w:val="0"/>
        <w:adjustRightInd/>
        <w:snapToGrid/>
        <w:spacing w:line="560" w:lineRule="exact"/>
        <w:ind w:left="0" w:leftChars="0" w:firstLine="0" w:firstLineChars="0"/>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附件</w:t>
      </w:r>
    </w:p>
    <w:p w14:paraId="55E74197">
      <w:pPr>
        <w:rPr>
          <w:rFonts w:hint="eastAsia"/>
          <w:lang w:val="en-US" w:eastAsia="zh-CN"/>
        </w:rPr>
      </w:pPr>
    </w:p>
    <w:p w14:paraId="4E7C2A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44"/>
          <w:szCs w:val="44"/>
          <w:lang w:val="en-US" w:eastAsia="zh-CN"/>
        </w:rPr>
      </w:pPr>
      <w:r>
        <w:rPr>
          <w:rFonts w:hint="eastAsia" w:ascii="宋体" w:hAnsi="宋体" w:eastAsia="宋体" w:cs="宋体"/>
          <w:b/>
          <w:bCs/>
          <w:sz w:val="44"/>
          <w:szCs w:val="44"/>
          <w:lang w:val="en-US" w:eastAsia="zh-CN"/>
        </w:rPr>
        <w:t>一标段冷链软件技术参数</w:t>
      </w:r>
    </w:p>
    <w:p w14:paraId="4F8C25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2AAB601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技术框架</w:t>
      </w:r>
    </w:p>
    <w:p w14:paraId="094ECF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（1）平台支持主流操作系统环境，包括windows server 2008、 windows server 2012、Linux等主流操作系统。系统软件必须是正版标准软件，并在原厂的服务支持周期内</w:t>
      </w:r>
      <w:r>
        <w:rPr>
          <w:rFonts w:hint="eastAsia" w:ascii="仿宋_GB2312" w:hAnsi="仿宋_GB2312" w:eastAsia="仿宋_GB2312" w:cs="仿宋_GB2312"/>
          <w:sz w:val="32"/>
          <w:szCs w:val="32"/>
          <w:lang w:val="en-GB" w:eastAsia="zh-CN"/>
        </w:rPr>
        <w:t>，</w:t>
      </w:r>
      <w:r>
        <w:rPr>
          <w:rFonts w:hint="eastAsia" w:ascii="仿宋_GB2312" w:hAnsi="仿宋_GB2312" w:eastAsia="仿宋_GB2312" w:cs="仿宋_GB2312"/>
          <w:sz w:val="32"/>
          <w:szCs w:val="32"/>
          <w:lang w:val="en-US" w:eastAsia="zh-CN"/>
        </w:rPr>
        <w:t>无版权纠纷。</w:t>
      </w:r>
    </w:p>
    <w:p w14:paraId="004E58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（2）平台24小时不间断工作，用于运行温湿度监控系统主程序并保存采集到的温湿度数据。</w:t>
      </w:r>
    </w:p>
    <w:p w14:paraId="585A5F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（3）平台采用B\S架构进行软件部署，使用至少三层以上的结构。</w:t>
      </w:r>
    </w:p>
    <w:p w14:paraId="0CC2CE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（4）平台架构要求具备开放性，提供完整规范的开发接口，能够满足主流平台和跨平台快速应用开发的需求。</w:t>
      </w:r>
    </w:p>
    <w:p w14:paraId="25EC02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（5）★平台支持iOS、安卓、微信小程序等移动平台，可随时了解设备运行状态。</w:t>
      </w:r>
    </w:p>
    <w:p w14:paraId="4B3F90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（6）平台</w:t>
      </w:r>
      <w:r>
        <w:rPr>
          <w:rFonts w:hint="eastAsia" w:ascii="仿宋_GB2312" w:hAnsi="仿宋_GB2312" w:eastAsia="仿宋_GB2312" w:cs="仿宋_GB2312"/>
          <w:sz w:val="32"/>
          <w:szCs w:val="32"/>
          <w:lang w:val="en-GB" w:eastAsia="zh-CN"/>
        </w:rPr>
        <w:t>界面显示语言为中文，</w:t>
      </w:r>
      <w:r>
        <w:rPr>
          <w:rFonts w:hint="eastAsia" w:ascii="仿宋_GB2312" w:hAnsi="仿宋_GB2312" w:eastAsia="仿宋_GB2312" w:cs="仿宋_GB2312"/>
          <w:sz w:val="32"/>
          <w:szCs w:val="32"/>
          <w:lang w:val="en-US" w:eastAsia="zh-CN"/>
        </w:rPr>
        <w:t>时间显示格式为24小时制，</w:t>
      </w:r>
      <w:r>
        <w:rPr>
          <w:rFonts w:hint="eastAsia" w:ascii="仿宋_GB2312" w:hAnsi="仿宋_GB2312" w:eastAsia="仿宋_GB2312" w:cs="仿宋_GB2312"/>
          <w:sz w:val="32"/>
          <w:szCs w:val="32"/>
          <w:lang w:val="en-GB" w:eastAsia="zh-CN"/>
        </w:rPr>
        <w:t>界面设计信息全面、人性化。通过主界面进入各个</w:t>
      </w:r>
      <w:r>
        <w:rPr>
          <w:rFonts w:hint="eastAsia" w:ascii="仿宋_GB2312" w:hAnsi="仿宋_GB2312" w:eastAsia="仿宋_GB2312" w:cs="仿宋_GB2312"/>
          <w:sz w:val="32"/>
          <w:szCs w:val="32"/>
          <w:lang w:val="en-US" w:eastAsia="zh-CN"/>
        </w:rPr>
        <w:t>子</w:t>
      </w:r>
      <w:r>
        <w:rPr>
          <w:rFonts w:hint="eastAsia" w:ascii="仿宋_GB2312" w:hAnsi="仿宋_GB2312" w:eastAsia="仿宋_GB2312" w:cs="仿宋_GB2312"/>
          <w:sz w:val="32"/>
          <w:szCs w:val="32"/>
          <w:lang w:val="en-GB" w:eastAsia="zh-CN"/>
        </w:rPr>
        <w:t>界面。</w:t>
      </w:r>
      <w:r>
        <w:rPr>
          <w:rFonts w:hint="eastAsia" w:ascii="仿宋_GB2312" w:hAnsi="仿宋_GB2312" w:eastAsia="仿宋_GB2312" w:cs="仿宋_GB2312"/>
          <w:sz w:val="32"/>
          <w:szCs w:val="32"/>
          <w:lang w:val="en-US" w:eastAsia="zh-CN"/>
        </w:rPr>
        <w:t>如测点监控</w:t>
      </w:r>
      <w:r>
        <w:rPr>
          <w:rFonts w:hint="eastAsia" w:ascii="仿宋_GB2312" w:hAnsi="仿宋_GB2312" w:eastAsia="仿宋_GB2312" w:cs="仿宋_GB2312"/>
          <w:sz w:val="32"/>
          <w:szCs w:val="32"/>
          <w:lang w:val="en-GB" w:eastAsia="zh-CN"/>
        </w:rPr>
        <w:t>界面、参数设置界面、</w:t>
      </w:r>
      <w:r>
        <w:rPr>
          <w:rFonts w:hint="eastAsia" w:ascii="仿宋_GB2312" w:hAnsi="仿宋_GB2312" w:eastAsia="仿宋_GB2312" w:cs="仿宋_GB2312"/>
          <w:sz w:val="32"/>
          <w:szCs w:val="32"/>
          <w:lang w:val="en-US" w:eastAsia="zh-CN"/>
        </w:rPr>
        <w:t>趋势</w:t>
      </w:r>
      <w:r>
        <w:rPr>
          <w:rFonts w:hint="eastAsia" w:ascii="仿宋_GB2312" w:hAnsi="仿宋_GB2312" w:eastAsia="仿宋_GB2312" w:cs="仿宋_GB2312"/>
          <w:sz w:val="32"/>
          <w:szCs w:val="32"/>
          <w:lang w:val="en-GB" w:eastAsia="zh-CN"/>
        </w:rPr>
        <w:t>曲线界面、报警记录界面等。</w:t>
      </w:r>
    </w:p>
    <w:p w14:paraId="5BAAD40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设备管理</w:t>
      </w:r>
    </w:p>
    <w:p w14:paraId="57608C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（1）★冷链采集克隆：平台具备采集克隆功能，通过生成克隆采集释放正常采集，可实现模块绑定多个设备后的数据按照不同设备单独管理和存档。</w:t>
      </w:r>
    </w:p>
    <w:p w14:paraId="6985F1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（2）★更换冷链采集：支持随时对监测的冷链设备进行更换和新增，并保留被更换设备的历史数据。</w:t>
      </w:r>
    </w:p>
    <w:p w14:paraId="058974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设备系统化管理：包含设备隶属关系、设备权限、设备类型、设备编号、设备位置、设备名称等信息的集中管理。能够实时展示设备当前温湿度情况、氧气浓度、二氧化碳浓度等运行状态和设备故障等信息。</w:t>
      </w:r>
    </w:p>
    <w:p w14:paraId="706924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（4）采集间隔设置：支持自定义正常采集频率和报警采集频率。参数设置界面，支持根据需要分别设定不同监测点的数据上传间隔，采集间隔支持1分钟到24小时，可单独设置超标后数据记录间隔。</w:t>
      </w:r>
    </w:p>
    <w:p w14:paraId="5EBB99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（5）设备状态管理：冰箱设备出现问题时，平台可自由设置设备状态为维修或闲置，关闭温度记录或报警功能，满足管理需求。</w:t>
      </w:r>
    </w:p>
    <w:p w14:paraId="0E663D2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数据备份和还原</w:t>
      </w:r>
    </w:p>
    <w:p w14:paraId="501C69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（1）平台具备数据存储功能，云数据存储时间至少10年。</w:t>
      </w:r>
    </w:p>
    <w:p w14:paraId="2D8FC9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（2）支持动态扩展，可根据用户存储时长需求动态配置。</w:t>
      </w:r>
    </w:p>
    <w:p w14:paraId="53EE02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数据库需支持自动备份，数据库备份策略为全量备份和增量备份，并具备系统灾难恢复操作指导及相关备份程序，系统管理员可在系统崩溃时依此完成数据备份及还原工作。因软件自身缺陷造成系统无法正常运行时，免费提供系统升级和相应的服务。</w:t>
      </w:r>
    </w:p>
    <w:p w14:paraId="60B0EB3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数据导出备份</w:t>
      </w:r>
    </w:p>
    <w:p w14:paraId="1D9114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（1）平台支持将全部设备历史数据导出至Excel或PDF文档中，也可导出设备运行曲线。</w:t>
      </w:r>
    </w:p>
    <w:p w14:paraId="7625A2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（2）★平台支持按照管理要求导出整点数据（整点时间可自定义），文件格式支持Excel和PDF。</w:t>
      </w:r>
    </w:p>
    <w:p w14:paraId="159D4E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（3）★平台支持按设备单独生成设备运行PDF报告，可记录设备基础信息、数据数量、最大值、最小值、平均值、MKT温度、报警次数、报警持续时间、详细数据记录、报警记录等信息。</w:t>
      </w:r>
    </w:p>
    <w:p w14:paraId="7A0EA9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（4）★订阅报告：平台可以按照日、周、月维度自动生成以上报告类型，并自动发送至客户电子邮箱中，实现自动电子备份。</w:t>
      </w:r>
    </w:p>
    <w:p w14:paraId="5A3E9B8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实时监控</w:t>
      </w:r>
    </w:p>
    <w:p w14:paraId="3EC55B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（1）实时数据展示：平台具备接种单位所有设备温度等数据的实时监控一览功能，便于操作人员更加直观的查看了解。平台支持定时刷新和滚动展示，简化用户操作，便于快速了解最新运行状态。</w:t>
      </w:r>
    </w:p>
    <w:p w14:paraId="04C39B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（2）历史数据展示：系统</w:t>
      </w:r>
      <w:r>
        <w:rPr>
          <w:rFonts w:hint="eastAsia" w:ascii="仿宋_GB2312" w:hAnsi="仿宋_GB2312" w:eastAsia="仿宋_GB2312" w:cs="仿宋_GB2312"/>
          <w:sz w:val="32"/>
          <w:szCs w:val="32"/>
          <w:lang w:val="en-GB" w:eastAsia="zh-CN"/>
        </w:rPr>
        <w:t>支持多条件查询</w:t>
      </w:r>
      <w:r>
        <w:rPr>
          <w:rFonts w:hint="eastAsia" w:ascii="仿宋_GB2312" w:hAnsi="仿宋_GB2312" w:eastAsia="仿宋_GB2312" w:cs="仿宋_GB2312"/>
          <w:sz w:val="32"/>
          <w:szCs w:val="32"/>
          <w:lang w:val="en-US" w:eastAsia="zh-CN"/>
        </w:rPr>
        <w:t>温湿度、液位等</w:t>
      </w:r>
      <w:r>
        <w:rPr>
          <w:rFonts w:hint="eastAsia" w:ascii="仿宋_GB2312" w:hAnsi="仿宋_GB2312" w:eastAsia="仿宋_GB2312" w:cs="仿宋_GB2312"/>
          <w:sz w:val="32"/>
          <w:szCs w:val="32"/>
          <w:lang w:val="en-GB" w:eastAsia="zh-CN"/>
        </w:rPr>
        <w:t>数据，支持数据列表显示和曲线显示，</w:t>
      </w:r>
      <w:r>
        <w:rPr>
          <w:rFonts w:hint="eastAsia" w:ascii="仿宋_GB2312" w:hAnsi="仿宋_GB2312" w:eastAsia="仿宋_GB2312" w:cs="仿宋_GB2312"/>
          <w:sz w:val="32"/>
          <w:szCs w:val="32"/>
          <w:lang w:val="en-US" w:eastAsia="zh-CN"/>
        </w:rPr>
        <w:t>曲线显示具备</w:t>
      </w:r>
      <w:r>
        <w:rPr>
          <w:rFonts w:hint="eastAsia" w:ascii="仿宋_GB2312" w:hAnsi="仿宋_GB2312" w:eastAsia="仿宋_GB2312" w:cs="仿宋_GB2312"/>
          <w:sz w:val="32"/>
          <w:szCs w:val="32"/>
          <w:lang w:val="en-GB" w:eastAsia="zh-CN"/>
        </w:rPr>
        <w:t>显示报警超标线，缩放、</w:t>
      </w:r>
      <w:r>
        <w:rPr>
          <w:rFonts w:hint="eastAsia" w:ascii="仿宋_GB2312" w:hAnsi="仿宋_GB2312" w:eastAsia="仿宋_GB2312" w:cs="仿宋_GB2312"/>
          <w:sz w:val="32"/>
          <w:szCs w:val="32"/>
          <w:lang w:val="en-US" w:eastAsia="zh-CN"/>
        </w:rPr>
        <w:t>按</w:t>
      </w:r>
      <w:r>
        <w:rPr>
          <w:rFonts w:hint="eastAsia" w:ascii="仿宋_GB2312" w:hAnsi="仿宋_GB2312" w:eastAsia="仿宋_GB2312" w:cs="仿宋_GB2312"/>
          <w:sz w:val="32"/>
          <w:szCs w:val="32"/>
          <w:lang w:val="en-GB" w:eastAsia="zh-CN"/>
        </w:rPr>
        <w:t>时间</w:t>
      </w:r>
      <w:r>
        <w:rPr>
          <w:rFonts w:hint="eastAsia" w:ascii="仿宋_GB2312" w:hAnsi="仿宋_GB2312" w:eastAsia="仿宋_GB2312" w:cs="仿宋_GB2312"/>
          <w:sz w:val="32"/>
          <w:szCs w:val="32"/>
          <w:lang w:val="en-US" w:eastAsia="zh-CN"/>
        </w:rPr>
        <w:t>段</w:t>
      </w:r>
      <w:r>
        <w:rPr>
          <w:rFonts w:hint="eastAsia" w:ascii="仿宋_GB2312" w:hAnsi="仿宋_GB2312" w:eastAsia="仿宋_GB2312" w:cs="仿宋_GB2312"/>
          <w:sz w:val="32"/>
          <w:szCs w:val="32"/>
          <w:lang w:val="en-GB" w:eastAsia="zh-CN"/>
        </w:rPr>
        <w:t>查询等功能，界面友好，便于操作</w:t>
      </w:r>
    </w:p>
    <w:p w14:paraId="730016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（3）★数据分析：系统支持数据统计分析功能，可以选定某时间段内测点进行记录数据分析，至少包含最大值、最小值和平均值，方便从不同角度分析设备运行状态</w:t>
      </w:r>
    </w:p>
    <w:p w14:paraId="7AB9D3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（4）★平台可以汇总多条曲线在同一张图表上，以方便后期数据的查看以及对比</w:t>
      </w:r>
    </w:p>
    <w:p w14:paraId="7B792E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（5）★大屏展示（显示屏自备）：平台支持通过大屏汇总展示设备运行状态和监控。</w:t>
      </w:r>
    </w:p>
    <w:p w14:paraId="2148F74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售后承诺​</w:t>
      </w:r>
    </w:p>
    <w:p w14:paraId="6F46F2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质保期限：自验收合格之日起，提供</w:t>
      </w:r>
      <w:r>
        <w:rPr>
          <w:rFonts w:hint="eastAsia" w:ascii="仿宋_GB2312" w:hAnsi="仿宋_GB2312" w:eastAsia="仿宋_GB2312" w:cs="仿宋_GB2312"/>
          <w:sz w:val="32"/>
          <w:szCs w:val="32"/>
          <w:lang w:val="en-US" w:eastAsia="zh-CN"/>
        </w:rPr>
        <w:t>硬件3</w:t>
      </w:r>
      <w:r>
        <w:rPr>
          <w:rFonts w:hint="eastAsia" w:ascii="仿宋_GB2312" w:hAnsi="仿宋_GB2312" w:eastAsia="仿宋_GB2312" w:cs="仿宋_GB2312"/>
          <w:sz w:val="32"/>
          <w:szCs w:val="32"/>
        </w:rPr>
        <w:t xml:space="preserve"> 年</w:t>
      </w:r>
      <w:r>
        <w:rPr>
          <w:rFonts w:hint="eastAsia" w:ascii="仿宋_GB2312" w:hAnsi="仿宋_GB2312" w:eastAsia="仿宋_GB2312" w:cs="仿宋_GB2312"/>
          <w:sz w:val="32"/>
          <w:szCs w:val="32"/>
          <w:lang w:val="en-US" w:eastAsia="zh-CN"/>
        </w:rPr>
        <w:t>、软件8年</w:t>
      </w:r>
      <w:r>
        <w:rPr>
          <w:rFonts w:hint="eastAsia" w:ascii="仿宋_GB2312" w:hAnsi="仿宋_GB2312" w:eastAsia="仿宋_GB2312" w:cs="仿宋_GB2312"/>
          <w:sz w:val="32"/>
          <w:szCs w:val="32"/>
        </w:rPr>
        <w:t>的免费质保服务。质保期内，若因产品质量问题出现故障，公司应即刻响应，免费提供维修、零部件更换等服务。</w:t>
      </w:r>
    </w:p>
    <w:p w14:paraId="7FEBD5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响应时间：收到售后需求后，公司应</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小时内快速响应，</w:t>
      </w:r>
      <w:r>
        <w:rPr>
          <w:rFonts w:hint="eastAsia" w:ascii="仿宋_GB2312" w:hAnsi="仿宋_GB2312" w:eastAsia="仿宋_GB2312" w:cs="仿宋_GB2312"/>
          <w:sz w:val="32"/>
          <w:szCs w:val="32"/>
          <w:lang w:val="en-US" w:eastAsia="zh-CN"/>
        </w:rPr>
        <w:t>硬件故障</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个工作日内派遣人员抵达现场，</w:t>
      </w:r>
      <w:r>
        <w:rPr>
          <w:rFonts w:hint="eastAsia" w:ascii="仿宋_GB2312" w:hAnsi="仿宋_GB2312" w:eastAsia="仿宋_GB2312" w:cs="仿宋_GB2312"/>
          <w:sz w:val="32"/>
          <w:szCs w:val="32"/>
          <w:lang w:val="en-US" w:eastAsia="zh-CN"/>
        </w:rPr>
        <w:t>软件故障2小时内</w:t>
      </w:r>
      <w:r>
        <w:rPr>
          <w:rFonts w:hint="eastAsia" w:ascii="仿宋_GB2312" w:hAnsi="仿宋_GB2312" w:eastAsia="仿宋_GB2312" w:cs="仿宋_GB2312"/>
          <w:sz w:val="32"/>
          <w:szCs w:val="32"/>
        </w:rPr>
        <w:t>解决问题。​</w:t>
      </w:r>
    </w:p>
    <w:p w14:paraId="784A22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定期维护：</w:t>
      </w:r>
    </w:p>
    <w:p w14:paraId="1AC181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①由于该产品硬件结构简单，无需定期现场维护</w:t>
      </w:r>
      <w:r>
        <w:rPr>
          <w:rFonts w:hint="eastAsia" w:ascii="仿宋_GB2312" w:hAnsi="仿宋_GB2312" w:eastAsia="仿宋_GB2312" w:cs="仿宋_GB2312"/>
          <w:sz w:val="32"/>
          <w:szCs w:val="32"/>
          <w:lang w:eastAsia="zh-CN"/>
        </w:rPr>
        <w:t>；</w:t>
      </w:r>
    </w:p>
    <w:p w14:paraId="10B80F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②针对软件及平台数据的维护，可提供全年不限次远程服务。</w:t>
      </w:r>
    </w:p>
    <w:p w14:paraId="6FB00A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技术支持：</w:t>
      </w:r>
      <w:r>
        <w:rPr>
          <w:rFonts w:hint="eastAsia" w:ascii="仿宋_GB2312" w:hAnsi="仿宋_GB2312" w:eastAsia="仿宋_GB2312" w:cs="仿宋_GB2312"/>
          <w:sz w:val="32"/>
          <w:szCs w:val="32"/>
          <w:lang w:val="en-US" w:eastAsia="zh-CN"/>
        </w:rPr>
        <w:t>提供</w:t>
      </w:r>
      <w:r>
        <w:rPr>
          <w:rFonts w:hint="eastAsia" w:ascii="仿宋_GB2312" w:hAnsi="仿宋_GB2312" w:eastAsia="仿宋_GB2312" w:cs="仿宋_GB2312"/>
          <w:sz w:val="32"/>
          <w:szCs w:val="32"/>
        </w:rPr>
        <w:t xml:space="preserve"> 7×24 小时</w:t>
      </w:r>
      <w:r>
        <w:rPr>
          <w:rFonts w:hint="eastAsia" w:ascii="仿宋_GB2312" w:hAnsi="仿宋_GB2312" w:eastAsia="仿宋_GB2312" w:cs="仿宋_GB2312"/>
          <w:sz w:val="32"/>
          <w:szCs w:val="32"/>
          <w:lang w:val="en-US" w:eastAsia="zh-CN"/>
        </w:rPr>
        <w:t>远程</w:t>
      </w:r>
      <w:r>
        <w:rPr>
          <w:rFonts w:hint="eastAsia" w:ascii="仿宋_GB2312" w:hAnsi="仿宋_GB2312" w:eastAsia="仿宋_GB2312" w:cs="仿宋_GB2312"/>
          <w:sz w:val="32"/>
          <w:szCs w:val="32"/>
        </w:rPr>
        <w:t>技术服务，可随时通过电话、</w:t>
      </w:r>
      <w:r>
        <w:rPr>
          <w:rFonts w:hint="eastAsia" w:ascii="仿宋_GB2312" w:hAnsi="仿宋_GB2312" w:eastAsia="仿宋_GB2312" w:cs="仿宋_GB2312"/>
          <w:sz w:val="32"/>
          <w:szCs w:val="32"/>
          <w:lang w:val="en-US" w:eastAsia="zh-CN"/>
        </w:rPr>
        <w:t>微信</w:t>
      </w:r>
      <w:r>
        <w:rPr>
          <w:rFonts w:hint="eastAsia" w:ascii="仿宋_GB2312" w:hAnsi="仿宋_GB2312" w:eastAsia="仿宋_GB2312" w:cs="仿宋_GB2312"/>
          <w:sz w:val="32"/>
          <w:szCs w:val="32"/>
        </w:rPr>
        <w:t>等方式与我方技术人员取得联系，我们将及时提供技术支持与解决方案。​</w:t>
      </w:r>
    </w:p>
    <w:p w14:paraId="1FCD36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配件供应：质保期结束后，</w:t>
      </w:r>
      <w:r>
        <w:rPr>
          <w:rFonts w:hint="eastAsia" w:ascii="仿宋_GB2312" w:hAnsi="仿宋_GB2312" w:eastAsia="仿宋_GB2312" w:cs="仿宋_GB2312"/>
          <w:sz w:val="32"/>
          <w:szCs w:val="32"/>
          <w:lang w:val="en-US" w:eastAsia="zh-CN"/>
        </w:rPr>
        <w:t>公</w:t>
      </w:r>
      <w:r>
        <w:rPr>
          <w:rFonts w:hint="eastAsia" w:ascii="仿宋_GB2312" w:hAnsi="仿宋_GB2312" w:eastAsia="仿宋_GB2312" w:cs="仿宋_GB2312"/>
          <w:sz w:val="32"/>
          <w:szCs w:val="32"/>
        </w:rPr>
        <w:t>司仍将以优惠价格持续供应原厂配件，并提供优质有偿维修服务，确保贵院设备长期稳定运行。</w:t>
      </w:r>
    </w:p>
    <w:p w14:paraId="7CE3D1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（6）供货期：</w:t>
      </w:r>
      <w:r>
        <w:rPr>
          <w:rFonts w:hint="eastAsia" w:ascii="仿宋_GB2312" w:hAnsi="仿宋_GB2312" w:eastAsia="仿宋_GB2312" w:cs="仿宋_GB2312"/>
          <w:sz w:val="32"/>
          <w:szCs w:val="32"/>
        </w:rPr>
        <w:t>自合同签定之日起30日历天内，并根据</w:t>
      </w:r>
      <w:r>
        <w:rPr>
          <w:rFonts w:hint="eastAsia" w:ascii="仿宋_GB2312" w:hAnsi="仿宋_GB2312" w:eastAsia="仿宋_GB2312" w:cs="仿宋_GB2312"/>
          <w:sz w:val="32"/>
          <w:szCs w:val="32"/>
          <w:lang w:val="en-US" w:eastAsia="zh-CN"/>
        </w:rPr>
        <w:t>贵方</w:t>
      </w:r>
      <w:r>
        <w:rPr>
          <w:rFonts w:hint="eastAsia" w:ascii="仿宋_GB2312" w:hAnsi="仿宋_GB2312" w:eastAsia="仿宋_GB2312" w:cs="仿宋_GB2312"/>
          <w:sz w:val="32"/>
          <w:szCs w:val="32"/>
        </w:rPr>
        <w:t>要求在指定地点进行安装、调试、验收等工作</w:t>
      </w:r>
      <w:r>
        <w:rPr>
          <w:rFonts w:hint="eastAsia" w:ascii="仿宋_GB2312" w:hAnsi="仿宋_GB2312" w:eastAsia="仿宋_GB2312" w:cs="仿宋_GB2312"/>
          <w:sz w:val="32"/>
          <w:szCs w:val="32"/>
          <w:lang w:eastAsia="zh-CN"/>
        </w:rPr>
        <w:t>。</w:t>
      </w:r>
    </w:p>
    <w:p w14:paraId="6D51B3A3">
      <w:pPr>
        <w:pStyle w:val="6"/>
        <w:jc w:val="both"/>
        <w:rPr>
          <w:rFonts w:hint="eastAsia" w:ascii="仿宋_GB2312" w:hAnsi="仿宋_GB2312" w:eastAsia="仿宋_GB2312" w:cs="仿宋_GB2312"/>
          <w:b/>
          <w:bCs/>
          <w:sz w:val="32"/>
          <w:szCs w:val="32"/>
          <w:lang w:val="en-US" w:eastAsia="zh-CN"/>
        </w:rPr>
      </w:pPr>
    </w:p>
    <w:p w14:paraId="34989A6D">
      <w:pPr>
        <w:pStyle w:val="6"/>
        <w:jc w:val="center"/>
        <w:rPr>
          <w:rFonts w:hint="eastAsia" w:ascii="仿宋_GB2312" w:hAnsi="仿宋_GB2312" w:eastAsia="仿宋_GB2312" w:cs="仿宋_GB2312"/>
          <w:b/>
          <w:bCs/>
          <w:sz w:val="44"/>
          <w:szCs w:val="44"/>
          <w:lang w:val="en-US" w:eastAsia="zh-CN"/>
        </w:rPr>
      </w:pPr>
      <w:r>
        <w:rPr>
          <w:rFonts w:hint="eastAsia" w:ascii="仿宋_GB2312" w:hAnsi="仿宋_GB2312" w:eastAsia="仿宋_GB2312" w:cs="仿宋_GB2312"/>
          <w:b/>
          <w:bCs/>
          <w:sz w:val="44"/>
          <w:szCs w:val="44"/>
          <w:lang w:val="en-US" w:eastAsia="zh-CN"/>
        </w:rPr>
        <w:t>响应文件格式</w:t>
      </w:r>
    </w:p>
    <w:p w14:paraId="7F699188">
      <w:pPr>
        <w:pStyle w:val="4"/>
        <w:ind w:left="0" w:leftChars="0" w:firstLine="0" w:firstLineChars="0"/>
        <w:rPr>
          <w:rFonts w:hint="eastAsia"/>
          <w:lang w:val="en-US" w:eastAsia="zh-CN"/>
        </w:rPr>
      </w:pPr>
    </w:p>
    <w:p w14:paraId="3B36A1BB">
      <w:pPr>
        <w:pStyle w:val="6"/>
        <w:numPr>
          <w:ilvl w:val="0"/>
          <w:numId w:val="2"/>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055B0CE8">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7E3EA11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6EAFD02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3E93C1A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29B9464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6A116B9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161C814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756B117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0FF11F8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0C2BE72">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0DF48D96">
      <w:pPr>
        <w:spacing w:line="360" w:lineRule="auto"/>
        <w:rPr>
          <w:rFonts w:hint="eastAsia" w:ascii="仿宋" w:hAnsi="仿宋" w:eastAsia="仿宋" w:cs="仿宋"/>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011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61F3166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AFD2B24">
            <w:pPr>
              <w:spacing w:line="500" w:lineRule="exact"/>
              <w:rPr>
                <w:rFonts w:hint="eastAsia" w:ascii="宋体" w:hAnsi="宋体" w:eastAsia="宋体" w:cs="宋体"/>
                <w:color w:val="auto"/>
                <w:sz w:val="24"/>
                <w:szCs w:val="24"/>
              </w:rPr>
            </w:pPr>
          </w:p>
          <w:p w14:paraId="3734AB06">
            <w:pPr>
              <w:spacing w:line="500" w:lineRule="exact"/>
              <w:rPr>
                <w:rFonts w:hint="eastAsia" w:ascii="宋体" w:hAnsi="宋体" w:eastAsia="宋体" w:cs="宋体"/>
                <w:color w:val="auto"/>
                <w:sz w:val="24"/>
                <w:szCs w:val="24"/>
              </w:rPr>
            </w:pPr>
          </w:p>
          <w:p w14:paraId="2152105F">
            <w:pPr>
              <w:spacing w:line="500" w:lineRule="exact"/>
              <w:rPr>
                <w:rFonts w:hint="eastAsia" w:ascii="宋体" w:hAnsi="宋体" w:eastAsia="宋体" w:cs="宋体"/>
                <w:color w:val="auto"/>
                <w:sz w:val="24"/>
                <w:szCs w:val="24"/>
              </w:rPr>
            </w:pPr>
          </w:p>
          <w:p w14:paraId="6F8DAC35">
            <w:pPr>
              <w:spacing w:line="500" w:lineRule="exact"/>
              <w:rPr>
                <w:rFonts w:hint="eastAsia" w:ascii="宋体" w:hAnsi="宋体" w:eastAsia="宋体" w:cs="宋体"/>
                <w:color w:val="auto"/>
                <w:sz w:val="24"/>
                <w:szCs w:val="24"/>
              </w:rPr>
            </w:pPr>
          </w:p>
        </w:tc>
        <w:tc>
          <w:tcPr>
            <w:tcW w:w="4606" w:type="dxa"/>
            <w:noWrap w:val="0"/>
            <w:vAlign w:val="top"/>
          </w:tcPr>
          <w:p w14:paraId="33A30952">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2A6714">
            <w:pPr>
              <w:widowControl/>
              <w:jc w:val="left"/>
              <w:rPr>
                <w:rFonts w:hint="eastAsia" w:ascii="宋体" w:hAnsi="宋体" w:eastAsia="宋体" w:cs="宋体"/>
                <w:color w:val="auto"/>
                <w:sz w:val="24"/>
                <w:szCs w:val="24"/>
              </w:rPr>
            </w:pPr>
          </w:p>
          <w:p w14:paraId="6360F388">
            <w:pPr>
              <w:widowControl/>
              <w:jc w:val="left"/>
              <w:rPr>
                <w:rFonts w:hint="eastAsia" w:ascii="宋体" w:hAnsi="宋体" w:eastAsia="宋体" w:cs="宋体"/>
                <w:color w:val="auto"/>
                <w:sz w:val="24"/>
                <w:szCs w:val="24"/>
              </w:rPr>
            </w:pPr>
          </w:p>
          <w:p w14:paraId="3F48D66B">
            <w:pPr>
              <w:widowControl/>
              <w:jc w:val="left"/>
              <w:rPr>
                <w:rFonts w:hint="eastAsia" w:ascii="宋体" w:hAnsi="宋体" w:eastAsia="宋体" w:cs="宋体"/>
                <w:color w:val="auto"/>
                <w:sz w:val="24"/>
                <w:szCs w:val="24"/>
              </w:rPr>
            </w:pPr>
          </w:p>
          <w:p w14:paraId="44025C97">
            <w:pPr>
              <w:widowControl/>
              <w:jc w:val="left"/>
              <w:rPr>
                <w:rFonts w:hint="eastAsia" w:ascii="宋体" w:hAnsi="宋体" w:eastAsia="宋体" w:cs="宋体"/>
                <w:color w:val="auto"/>
                <w:sz w:val="24"/>
                <w:szCs w:val="24"/>
              </w:rPr>
            </w:pPr>
          </w:p>
          <w:p w14:paraId="126D504A">
            <w:pPr>
              <w:spacing w:line="500" w:lineRule="exact"/>
              <w:rPr>
                <w:rFonts w:hint="eastAsia" w:ascii="宋体" w:hAnsi="宋体" w:eastAsia="宋体" w:cs="宋体"/>
                <w:color w:val="auto"/>
                <w:sz w:val="24"/>
                <w:szCs w:val="24"/>
              </w:rPr>
            </w:pPr>
          </w:p>
          <w:p w14:paraId="30B86C3A">
            <w:pPr>
              <w:spacing w:line="500" w:lineRule="exact"/>
              <w:rPr>
                <w:rFonts w:hint="eastAsia" w:ascii="宋体" w:hAnsi="宋体" w:eastAsia="宋体" w:cs="宋体"/>
                <w:color w:val="auto"/>
                <w:sz w:val="24"/>
                <w:szCs w:val="24"/>
              </w:rPr>
            </w:pPr>
          </w:p>
        </w:tc>
      </w:tr>
    </w:tbl>
    <w:p w14:paraId="40F6516D">
      <w:pPr>
        <w:rPr>
          <w:rFonts w:hint="eastAsia"/>
          <w:lang w:val="en-US" w:eastAsia="zh-CN"/>
        </w:rPr>
      </w:pPr>
    </w:p>
    <w:p w14:paraId="1E4F1438">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14:paraId="7F76BA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eastAsia="zh-CN"/>
        </w:rPr>
        <w:t>（</w:t>
      </w:r>
      <w:r>
        <w:rPr>
          <w:rFonts w:hint="eastAsia" w:ascii="仿宋" w:hAnsi="仿宋" w:cs="仿宋"/>
          <w:color w:val="auto"/>
          <w:sz w:val="24"/>
          <w:szCs w:val="24"/>
          <w:u w:val="single"/>
          <w:lang w:val="en-US" w:eastAsia="zh-CN"/>
        </w:rPr>
        <w:t>填写项目名称</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招标资格审查申请文件，其法律后果由我方承担。 </w:t>
      </w:r>
    </w:p>
    <w:p w14:paraId="4B8B30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2E5447B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3DAC1EE1">
      <w:pPr>
        <w:rPr>
          <w:rFonts w:hint="eastAsia" w:ascii="仿宋" w:hAnsi="仿宋" w:eastAsia="仿宋" w:cs="仿宋"/>
          <w:color w:val="auto"/>
          <w:sz w:val="24"/>
          <w:szCs w:val="24"/>
        </w:rPr>
      </w:pPr>
    </w:p>
    <w:p w14:paraId="324DD761">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62526E7A">
      <w:pPr>
        <w:spacing w:line="360" w:lineRule="auto"/>
        <w:rPr>
          <w:rFonts w:hint="eastAsia" w:ascii="仿宋" w:hAnsi="仿宋" w:eastAsia="仿宋" w:cs="仿宋"/>
          <w:color w:val="auto"/>
          <w:sz w:val="24"/>
          <w:szCs w:val="24"/>
        </w:rPr>
      </w:pPr>
    </w:p>
    <w:p w14:paraId="590EA06C">
      <w:pPr>
        <w:spacing w:line="360" w:lineRule="auto"/>
        <w:rPr>
          <w:rFonts w:hint="eastAsia" w:ascii="仿宋" w:hAnsi="仿宋" w:eastAsia="仿宋" w:cs="仿宋"/>
          <w:color w:val="auto"/>
          <w:sz w:val="24"/>
          <w:szCs w:val="24"/>
        </w:rPr>
      </w:pPr>
    </w:p>
    <w:p w14:paraId="56A624C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0FC23DD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A5B4EC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7A033A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68F09BE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CE23DC3">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7FD84076">
      <w:pPr>
        <w:spacing w:line="360" w:lineRule="auto"/>
        <w:ind w:firstLine="120" w:firstLineChars="50"/>
        <w:rPr>
          <w:rFonts w:hint="eastAsia" w:ascii="宋体" w:hAnsi="宋体" w:eastAsia="宋体" w:cs="宋体"/>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6F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442FE2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91CDB1A">
            <w:pPr>
              <w:spacing w:line="500" w:lineRule="exact"/>
              <w:rPr>
                <w:rFonts w:hint="eastAsia" w:ascii="宋体" w:hAnsi="宋体" w:eastAsia="宋体" w:cs="宋体"/>
                <w:color w:val="auto"/>
                <w:sz w:val="24"/>
                <w:szCs w:val="24"/>
              </w:rPr>
            </w:pPr>
          </w:p>
          <w:p w14:paraId="6C5788C4">
            <w:pPr>
              <w:spacing w:line="500" w:lineRule="exact"/>
              <w:rPr>
                <w:rFonts w:hint="eastAsia" w:ascii="宋体" w:hAnsi="宋体" w:eastAsia="宋体" w:cs="宋体"/>
                <w:color w:val="auto"/>
                <w:sz w:val="24"/>
                <w:szCs w:val="24"/>
              </w:rPr>
            </w:pPr>
          </w:p>
          <w:p w14:paraId="54D04DA4">
            <w:pPr>
              <w:spacing w:line="500" w:lineRule="exact"/>
              <w:rPr>
                <w:rFonts w:hint="eastAsia" w:ascii="宋体" w:hAnsi="宋体" w:eastAsia="宋体" w:cs="宋体"/>
                <w:color w:val="auto"/>
                <w:sz w:val="24"/>
                <w:szCs w:val="24"/>
              </w:rPr>
            </w:pPr>
          </w:p>
        </w:tc>
        <w:tc>
          <w:tcPr>
            <w:tcW w:w="4777" w:type="dxa"/>
            <w:noWrap w:val="0"/>
            <w:vAlign w:val="top"/>
          </w:tcPr>
          <w:p w14:paraId="372A39C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DD25C30">
            <w:pPr>
              <w:widowControl/>
              <w:jc w:val="left"/>
              <w:rPr>
                <w:rFonts w:hint="eastAsia" w:ascii="宋体" w:hAnsi="宋体" w:eastAsia="宋体" w:cs="宋体"/>
                <w:color w:val="auto"/>
                <w:sz w:val="24"/>
                <w:szCs w:val="24"/>
              </w:rPr>
            </w:pPr>
          </w:p>
          <w:p w14:paraId="0B9CCDD1">
            <w:pPr>
              <w:widowControl/>
              <w:jc w:val="left"/>
              <w:rPr>
                <w:rFonts w:hint="eastAsia" w:ascii="宋体" w:hAnsi="宋体" w:eastAsia="宋体" w:cs="宋体"/>
                <w:color w:val="auto"/>
                <w:sz w:val="24"/>
                <w:szCs w:val="24"/>
              </w:rPr>
            </w:pPr>
          </w:p>
          <w:p w14:paraId="10412AE3">
            <w:pPr>
              <w:spacing w:line="500" w:lineRule="exact"/>
              <w:rPr>
                <w:rFonts w:hint="eastAsia" w:ascii="宋体" w:hAnsi="宋体" w:eastAsia="宋体" w:cs="宋体"/>
                <w:color w:val="auto"/>
                <w:sz w:val="24"/>
                <w:szCs w:val="24"/>
              </w:rPr>
            </w:pPr>
          </w:p>
        </w:tc>
      </w:tr>
    </w:tbl>
    <w:p w14:paraId="191A9C9A">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12E4FD71">
      <w:pPr>
        <w:pStyle w:val="6"/>
        <w:rPr>
          <w:rFonts w:hint="eastAsia"/>
          <w:lang w:val="en-US" w:eastAsia="zh-CN"/>
        </w:rPr>
      </w:pPr>
    </w:p>
    <w:p w14:paraId="72770D59">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6450C7B7">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4.参加政府采购活动前三年内在经营活动中无重大违法、无违规违纪的书面声明；</w:t>
      </w:r>
    </w:p>
    <w:p w14:paraId="32E75C74">
      <w:pPr>
        <w:jc w:val="center"/>
        <w:rPr>
          <w:rFonts w:hint="eastAsia" w:ascii="黑体" w:hAnsi="黑体" w:eastAsia="黑体" w:cs="黑体"/>
          <w:b/>
          <w:bCs/>
          <w:sz w:val="28"/>
          <w:szCs w:val="28"/>
          <w:lang w:val="en-US" w:eastAsia="zh-CN"/>
        </w:rPr>
      </w:pPr>
    </w:p>
    <w:p w14:paraId="2E6830F8">
      <w:pPr>
        <w:jc w:val="center"/>
        <w:rPr>
          <w:rFonts w:hint="eastAsia" w:ascii="黑体" w:hAnsi="黑体" w:eastAsia="黑体" w:cs="黑体"/>
          <w:b/>
          <w:bCs/>
          <w:sz w:val="28"/>
          <w:szCs w:val="28"/>
          <w:lang w:val="en-US" w:eastAsia="zh-CN"/>
        </w:rPr>
      </w:pPr>
    </w:p>
    <w:p w14:paraId="06821F5E">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768E348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DB62FF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致：[采购单位/招标代理机构名称] </w:t>
      </w:r>
    </w:p>
    <w:p w14:paraId="1D0E806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7F65B41D">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FC318C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C1FAE68">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97657C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0E6A35C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0952D3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170ACA7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7B5E517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9690568">
      <w:pPr>
        <w:pStyle w:val="6"/>
        <w:rPr>
          <w:rFonts w:hint="eastAsia" w:ascii="宋体" w:hAnsi="宋体" w:eastAsia="宋体" w:cs="宋体"/>
          <w:color w:val="auto"/>
          <w:sz w:val="28"/>
          <w:szCs w:val="28"/>
          <w:lang w:val="en-US" w:eastAsia="zh-CN"/>
        </w:rPr>
      </w:pPr>
    </w:p>
    <w:p w14:paraId="081CAC35">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3B5DD59F">
      <w:pPr>
        <w:rPr>
          <w:rFonts w:hint="eastAsia" w:ascii="宋体" w:hAnsi="宋体" w:eastAsia="宋体" w:cs="宋体"/>
          <w:color w:val="auto"/>
          <w:sz w:val="28"/>
          <w:szCs w:val="28"/>
          <w:lang w:val="en-US" w:eastAsia="zh-CN"/>
        </w:rPr>
      </w:pPr>
    </w:p>
    <w:p w14:paraId="48C5D5B2">
      <w:pPr>
        <w:numPr>
          <w:numId w:val="0"/>
        </w:numPr>
        <w:ind w:leftChars="200"/>
        <w:rPr>
          <w:rFonts w:hint="eastAsia" w:ascii="宋体" w:hAnsi="宋体" w:eastAsia="宋体" w:cs="宋体"/>
          <w:color w:val="auto"/>
          <w:sz w:val="28"/>
          <w:szCs w:val="28"/>
          <w:lang w:val="en-US" w:eastAsia="zh-CN"/>
        </w:rPr>
      </w:pPr>
      <w:r>
        <w:rPr>
          <w:rFonts w:hint="eastAsia" w:ascii="宋体" w:hAnsi="宋体" w:cs="宋体"/>
          <w:b/>
          <w:bCs/>
          <w:color w:val="auto"/>
          <w:sz w:val="28"/>
          <w:szCs w:val="28"/>
          <w:lang w:val="en-US" w:eastAsia="zh-CN"/>
        </w:rPr>
        <w:t>6.报价表：</w:t>
      </w:r>
      <w:r>
        <w:rPr>
          <w:rFonts w:hint="eastAsia" w:ascii="宋体" w:hAnsi="宋体" w:eastAsia="宋体" w:cs="宋体"/>
          <w:color w:val="auto"/>
          <w:sz w:val="28"/>
          <w:szCs w:val="28"/>
          <w:lang w:val="en-US" w:eastAsia="zh-CN"/>
        </w:rPr>
        <w:t>需包含采购内容所列项目（格式自拟）。</w:t>
      </w:r>
    </w:p>
    <w:p w14:paraId="25F8BACC">
      <w:pPr>
        <w:numPr>
          <w:numId w:val="0"/>
        </w:numPr>
        <w:ind w:left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w:t>
      </w:r>
      <w:bookmarkStart w:id="0" w:name="_GoBack"/>
      <w:bookmarkEnd w:id="0"/>
      <w:r>
        <w:rPr>
          <w:rFonts w:hint="eastAsia" w:ascii="宋体" w:hAnsi="宋体" w:eastAsia="宋体" w:cs="宋体"/>
          <w:color w:val="auto"/>
          <w:sz w:val="28"/>
          <w:szCs w:val="28"/>
          <w:lang w:val="en-US" w:eastAsia="zh-CN"/>
        </w:rPr>
        <w:t xml:space="preserve"> 无围标串标行为的承诺函。</w:t>
      </w:r>
    </w:p>
    <w:p w14:paraId="443C9EFF">
      <w:pPr>
        <w:pStyle w:val="6"/>
        <w:rPr>
          <w:rFonts w:hint="eastAsia" w:ascii="仿宋" w:hAnsi="仿宋" w:eastAsia="仿宋" w:cs="仿宋"/>
        </w:rPr>
      </w:pPr>
    </w:p>
    <w:p w14:paraId="7166F88E">
      <w:pPr>
        <w:pStyle w:val="2"/>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6DB879E6">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14:paraId="3B95489D">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14:paraId="57FFAECA">
      <w:pPr>
        <w:bidi w:val="0"/>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14:paraId="157860F8">
      <w:pPr>
        <w:bidi w:val="0"/>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14:paraId="40DC0A28">
      <w:pPr>
        <w:bidi w:val="0"/>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14:paraId="6D52ED41">
      <w:pPr>
        <w:bidi w:val="0"/>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14:paraId="270677BF">
      <w:pPr>
        <w:bidi w:val="0"/>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26F924BF">
      <w:pPr>
        <w:bidi w:val="0"/>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5462D307">
      <w:pPr>
        <w:bidi w:val="0"/>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14:paraId="17094A7B">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14:paraId="116E44AA">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14:paraId="024BFF96">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14:paraId="0FBB4D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14:paraId="3BECDC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14:paraId="56291D29">
      <w:pPr>
        <w:bidi w:val="0"/>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p w14:paraId="5FFA7AEC">
      <w:pPr>
        <w:bidi w:val="0"/>
        <w:rPr>
          <w:rFonts w:hint="eastAsia" w:ascii="仿宋" w:hAnsi="仿宋" w:eastAsia="仿宋" w:cs="仿宋"/>
          <w:b/>
          <w:bCs/>
          <w:sz w:val="24"/>
          <w:szCs w:val="24"/>
          <w:lang w:val="en-US" w:eastAsia="zh-CN"/>
        </w:rPr>
      </w:pPr>
    </w:p>
    <w:p w14:paraId="4EC0D27E">
      <w:pPr>
        <w:bidi w:val="0"/>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w:t>
      </w:r>
      <w:r>
        <w:rPr>
          <w:rFonts w:hint="eastAsia" w:ascii="仿宋" w:hAnsi="仿宋" w:cs="仿宋"/>
          <w:sz w:val="24"/>
          <w:szCs w:val="24"/>
          <w:lang w:val="en-US" w:eastAsia="zh-CN"/>
        </w:rPr>
        <w:t>正本1</w:t>
      </w:r>
      <w:r>
        <w:rPr>
          <w:rFonts w:hint="eastAsia" w:ascii="仿宋" w:hAnsi="仿宋" w:eastAsia="仿宋" w:cs="仿宋"/>
          <w:sz w:val="24"/>
          <w:szCs w:val="24"/>
          <w:lang w:val="en-US" w:eastAsia="zh-CN"/>
        </w:rPr>
        <w:t>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92EB1A-45CB-4979-8AE3-1B57CB4F30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EF9BB4A-0333-4369-AF88-16C525B9B7F7}"/>
  </w:font>
  <w:font w:name="仿宋">
    <w:panose1 w:val="02010609060101010101"/>
    <w:charset w:val="86"/>
    <w:family w:val="auto"/>
    <w:pitch w:val="default"/>
    <w:sig w:usb0="800002BF" w:usb1="38CF7CFA" w:usb2="00000016" w:usb3="00000000" w:csb0="00040001" w:csb1="00000000"/>
    <w:embedRegular r:id="rId3" w:fontKey="{92E5F8E6-21DA-4C87-8644-737BBC12889B}"/>
  </w:font>
  <w:font w:name="仿宋_GB2312">
    <w:panose1 w:val="02010609030101010101"/>
    <w:charset w:val="86"/>
    <w:family w:val="auto"/>
    <w:pitch w:val="default"/>
    <w:sig w:usb0="00000001" w:usb1="080E0000" w:usb2="00000000" w:usb3="00000000" w:csb0="00040000" w:csb1="00000000"/>
    <w:embedRegular r:id="rId4" w:fontKey="{148256F3-9C10-4837-B8CE-FC0A2696E06B}"/>
  </w:font>
  <w:font w:name="方正公文小标宋">
    <w:altName w:val="宋体"/>
    <w:panose1 w:val="02000500000000000000"/>
    <w:charset w:val="86"/>
    <w:family w:val="auto"/>
    <w:pitch w:val="default"/>
    <w:sig w:usb0="00000000" w:usb1="00000000" w:usb2="00000016" w:usb3="00000000" w:csb0="00040001" w:csb1="00000000"/>
    <w:embedRegular r:id="rId5" w:fontKey="{B00673C4-13C0-40BE-89E1-85551AFC852B}"/>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7FA1">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5576"/>
    <w:multiLevelType w:val="singleLevel"/>
    <w:tmpl w:val="6F0F5576"/>
    <w:lvl w:ilvl="0" w:tentative="0">
      <w:start w:val="1"/>
      <w:numFmt w:val="decimal"/>
      <w:lvlText w:val="%1."/>
      <w:lvlJc w:val="left"/>
      <w:pPr>
        <w:tabs>
          <w:tab w:val="left" w:pos="312"/>
        </w:tabs>
      </w:pPr>
    </w:lvl>
  </w:abstractNum>
  <w:abstractNum w:abstractNumId="1">
    <w:nsid w:val="72ED49DC"/>
    <w:multiLevelType w:val="singleLevel"/>
    <w:tmpl w:val="72ED49DC"/>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55A20"/>
    <w:rsid w:val="06097877"/>
    <w:rsid w:val="09D17AC5"/>
    <w:rsid w:val="0E333C32"/>
    <w:rsid w:val="10645539"/>
    <w:rsid w:val="16727E07"/>
    <w:rsid w:val="17101F77"/>
    <w:rsid w:val="18502F73"/>
    <w:rsid w:val="190450DB"/>
    <w:rsid w:val="190D676E"/>
    <w:rsid w:val="1C730FDE"/>
    <w:rsid w:val="1E326C77"/>
    <w:rsid w:val="1F9A4AD4"/>
    <w:rsid w:val="220A4192"/>
    <w:rsid w:val="22F15352"/>
    <w:rsid w:val="262C6A83"/>
    <w:rsid w:val="33EF31E8"/>
    <w:rsid w:val="3A033549"/>
    <w:rsid w:val="3DF21489"/>
    <w:rsid w:val="45D64208"/>
    <w:rsid w:val="4A471230"/>
    <w:rsid w:val="4B306168"/>
    <w:rsid w:val="4EC866B8"/>
    <w:rsid w:val="510C6D30"/>
    <w:rsid w:val="51570B66"/>
    <w:rsid w:val="54640C31"/>
    <w:rsid w:val="58B55EFF"/>
    <w:rsid w:val="59E22D24"/>
    <w:rsid w:val="609446D6"/>
    <w:rsid w:val="664803B2"/>
    <w:rsid w:val="6A18009C"/>
    <w:rsid w:val="6AFA59F3"/>
    <w:rsid w:val="6CD05367"/>
    <w:rsid w:val="6FBE4806"/>
    <w:rsid w:val="70545BA6"/>
    <w:rsid w:val="72225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61"/>
    <w:basedOn w:val="9"/>
    <w:qFormat/>
    <w:uiPriority w:val="0"/>
    <w:rPr>
      <w:rFonts w:ascii="宋体" w:hAnsi="宋体" w:eastAsia="宋体" w:cs="宋体"/>
      <w:b/>
      <w:bCs/>
      <w:color w:val="000000"/>
      <w:sz w:val="36"/>
      <w:szCs w:val="36"/>
      <w:u w:val="none"/>
    </w:rPr>
  </w:style>
  <w:style w:type="character" w:customStyle="1" w:styleId="11">
    <w:name w:val="font71"/>
    <w:basedOn w:val="9"/>
    <w:qFormat/>
    <w:uiPriority w:val="0"/>
    <w:rPr>
      <w:rFonts w:ascii="宋体" w:hAnsi="宋体" w:eastAsia="宋体" w:cs="宋体"/>
      <w:color w:val="000000"/>
      <w:sz w:val="22"/>
      <w:szCs w:val="22"/>
      <w:u w:val="none"/>
    </w:rPr>
  </w:style>
  <w:style w:type="character" w:customStyle="1" w:styleId="12">
    <w:name w:val="font81"/>
    <w:basedOn w:val="9"/>
    <w:qFormat/>
    <w:uiPriority w:val="0"/>
    <w:rPr>
      <w:rFonts w:ascii="宋体" w:hAnsi="宋体" w:eastAsia="宋体" w:cs="宋体"/>
      <w:color w:val="000000"/>
      <w:sz w:val="26"/>
      <w:szCs w:val="2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3423</Words>
  <Characters>3536</Characters>
  <Lines>0</Lines>
  <Paragraphs>0</Paragraphs>
  <TotalTime>19</TotalTime>
  <ScaleCrop>false</ScaleCrop>
  <LinksUpToDate>false</LinksUpToDate>
  <CharactersWithSpaces>3963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2025-08-15T07:21:00Z</dcterms:created>
  <dc:creator>Administrator</dc:creator>
  <cp:lastModifiedBy>海底一粒沙</cp:lastModifiedBy>
  <dcterms:modified xsi:type="dcterms:W3CDTF">2025-09-08T00:55:48Z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3B9631A09E974330A52F45ED652A8204_12</vt:lpwstr>
  </property>
</Properties>
</file>