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CFB6A">
      <w:pPr>
        <w:pStyle w:val="5"/>
        <w:bidi w:val="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附件二：</w:t>
      </w:r>
    </w:p>
    <w:p w14:paraId="2E9013B0">
      <w:pPr>
        <w:pStyle w:val="6"/>
        <w:keepNext/>
        <w:keepLines/>
        <w:pageBreakBefore w:val="0"/>
        <w:widowControl w:val="0"/>
        <w:spacing w:before="0" w:after="0" w:line="360" w:lineRule="auto"/>
        <w:jc w:val="center"/>
        <w:rPr>
          <w:rFonts w:hint="eastAsia"/>
        </w:rPr>
      </w:pPr>
      <w:r>
        <w:rPr>
          <w:rFonts w:hint="eastAsia" w:ascii="仿宋_GB2312" w:hAnsi="仿宋_GB2312" w:eastAsia="仿宋_GB2312" w:cs="仿宋_GB2312"/>
          <w:b/>
          <w:bCs/>
          <w:sz w:val="32"/>
          <w:szCs w:val="32"/>
        </w:rPr>
        <w:t>评</w:t>
      </w:r>
      <w:bookmarkStart w:id="1" w:name="_GoBack"/>
      <w:bookmarkEnd w:id="1"/>
      <w:r>
        <w:rPr>
          <w:rFonts w:hint="eastAsia" w:ascii="仿宋_GB2312" w:hAnsi="仿宋_GB2312" w:eastAsia="仿宋_GB2312" w:cs="仿宋_GB2312"/>
          <w:b/>
          <w:bCs/>
          <w:sz w:val="32"/>
          <w:szCs w:val="32"/>
        </w:rPr>
        <w:t>审办法（综合评分法）</w:t>
      </w:r>
    </w:p>
    <w:p w14:paraId="0F815831">
      <w:pPr>
        <w:rPr>
          <w:rFonts w:hint="eastAsia"/>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5"/>
        <w:gridCol w:w="2265"/>
        <w:gridCol w:w="4531"/>
      </w:tblGrid>
      <w:tr w14:paraId="5AF11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1" w:type="dxa"/>
            <w:gridSpan w:val="3"/>
            <w:noWrap w:val="0"/>
            <w:vAlign w:val="top"/>
          </w:tcPr>
          <w:p w14:paraId="52D189B4">
            <w:pPr>
              <w:pStyle w:val="5"/>
              <w:bidi w:val="0"/>
              <w:rPr>
                <w:rFonts w:hint="eastAsia" w:ascii="仿宋_GB2312" w:hAnsi="仿宋_GB2312" w:eastAsia="仿宋_GB2312" w:cs="仿宋_GB2312"/>
                <w:sz w:val="32"/>
                <w:szCs w:val="32"/>
                <w:vertAlign w:val="baseline"/>
                <w:lang w:val="en-US" w:eastAsia="zh-CN"/>
              </w:rPr>
            </w:pPr>
            <w:r>
              <w:rPr>
                <w:rFonts w:hint="eastAsia" w:ascii="黑体" w:hAnsi="黑体" w:eastAsia="黑体" w:cs="黑体"/>
                <w:sz w:val="32"/>
                <w:szCs w:val="32"/>
                <w:vertAlign w:val="baseline"/>
                <w:lang w:val="en-US" w:eastAsia="zh-CN"/>
              </w:rPr>
              <w:t>一、技术部分（25分）</w:t>
            </w:r>
          </w:p>
        </w:tc>
      </w:tr>
      <w:tr w14:paraId="2D59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265" w:type="dxa"/>
            <w:noWrap w:val="0"/>
            <w:vAlign w:val="top"/>
          </w:tcPr>
          <w:p w14:paraId="33776473">
            <w:pPr>
              <w:pStyle w:val="5"/>
              <w:bidi w:val="0"/>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评分项目</w:t>
            </w:r>
          </w:p>
        </w:tc>
        <w:tc>
          <w:tcPr>
            <w:tcW w:w="2265" w:type="dxa"/>
            <w:noWrap w:val="0"/>
            <w:vAlign w:val="top"/>
          </w:tcPr>
          <w:p w14:paraId="2A678489">
            <w:pPr>
              <w:pStyle w:val="5"/>
              <w:bidi w:val="0"/>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分值</w:t>
            </w:r>
          </w:p>
        </w:tc>
        <w:tc>
          <w:tcPr>
            <w:tcW w:w="4531" w:type="dxa"/>
            <w:noWrap w:val="0"/>
            <w:vAlign w:val="top"/>
          </w:tcPr>
          <w:p w14:paraId="2F252994">
            <w:pPr>
              <w:pStyle w:val="5"/>
              <w:bidi w:val="0"/>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评分标准</w:t>
            </w:r>
          </w:p>
        </w:tc>
      </w:tr>
      <w:tr w14:paraId="63E0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5" w:hRule="atLeast"/>
        </w:trPr>
        <w:tc>
          <w:tcPr>
            <w:tcW w:w="2265" w:type="dxa"/>
            <w:noWrap w:val="0"/>
            <w:vAlign w:val="center"/>
          </w:tcPr>
          <w:p w14:paraId="226D417A">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检测精度</w:t>
            </w:r>
          </w:p>
        </w:tc>
        <w:tc>
          <w:tcPr>
            <w:tcW w:w="2265" w:type="dxa"/>
            <w:noWrap w:val="0"/>
            <w:vAlign w:val="top"/>
          </w:tcPr>
          <w:p w14:paraId="51BDAB31">
            <w:pPr>
              <w:pStyle w:val="5"/>
              <w:bidi w:val="0"/>
              <w:jc w:val="center"/>
              <w:rPr>
                <w:rFonts w:hint="eastAsia" w:ascii="仿宋_GB2312" w:hAnsi="仿宋_GB2312" w:eastAsia="仿宋_GB2312" w:cs="仿宋_GB2312"/>
                <w:sz w:val="32"/>
                <w:szCs w:val="32"/>
                <w:vertAlign w:val="baseline"/>
                <w:lang w:val="en-US" w:eastAsia="zh-CN"/>
              </w:rPr>
            </w:pPr>
          </w:p>
          <w:p w14:paraId="00F2DAC7">
            <w:pPr>
              <w:pStyle w:val="5"/>
              <w:bidi w:val="0"/>
              <w:jc w:val="center"/>
              <w:rPr>
                <w:rFonts w:hint="eastAsia" w:ascii="仿宋_GB2312" w:hAnsi="仿宋_GB2312" w:eastAsia="仿宋_GB2312" w:cs="仿宋_GB2312"/>
                <w:sz w:val="32"/>
                <w:szCs w:val="32"/>
                <w:vertAlign w:val="baseline"/>
                <w:lang w:val="en-US" w:eastAsia="zh-CN"/>
              </w:rPr>
            </w:pPr>
          </w:p>
          <w:p w14:paraId="31E3EDE7">
            <w:pPr>
              <w:pStyle w:val="5"/>
              <w:bidi w:val="0"/>
              <w:jc w:val="center"/>
              <w:rPr>
                <w:rFonts w:hint="eastAsia" w:ascii="仿宋_GB2312" w:hAnsi="仿宋_GB2312" w:eastAsia="仿宋_GB2312" w:cs="仿宋_GB2312"/>
                <w:sz w:val="32"/>
                <w:szCs w:val="32"/>
                <w:vertAlign w:val="baseline"/>
                <w:lang w:val="en-US" w:eastAsia="zh-CN"/>
              </w:rPr>
            </w:pPr>
          </w:p>
          <w:p w14:paraId="467877D9">
            <w:pPr>
              <w:pStyle w:val="5"/>
              <w:bidi w:val="0"/>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10分</w:t>
            </w:r>
          </w:p>
        </w:tc>
        <w:tc>
          <w:tcPr>
            <w:tcW w:w="4531" w:type="dxa"/>
            <w:noWrap w:val="0"/>
            <w:vAlign w:val="center"/>
          </w:tcPr>
          <w:p w14:paraId="630CDEB8">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检测结果与标准值误差在极小范围内，完全满足临床高精度检测需求，得8 - 10分；误差在可接受范围，基本满足临床需求，得4 - 7分；误差较大，影响部分检测结果准确性，得1 - 3分</w:t>
            </w:r>
          </w:p>
        </w:tc>
      </w:tr>
      <w:tr w14:paraId="1C7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noWrap w:val="0"/>
            <w:vAlign w:val="center"/>
          </w:tcPr>
          <w:p w14:paraId="6366B39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检测速度</w:t>
            </w:r>
          </w:p>
        </w:tc>
        <w:tc>
          <w:tcPr>
            <w:tcW w:w="2265" w:type="dxa"/>
            <w:noWrap w:val="0"/>
            <w:vAlign w:val="top"/>
          </w:tcPr>
          <w:p w14:paraId="42A46566">
            <w:pPr>
              <w:pStyle w:val="5"/>
              <w:bidi w:val="0"/>
              <w:jc w:val="center"/>
              <w:rPr>
                <w:rFonts w:hint="eastAsia" w:ascii="仿宋_GB2312" w:hAnsi="仿宋_GB2312" w:eastAsia="仿宋_GB2312" w:cs="仿宋_GB2312"/>
                <w:sz w:val="32"/>
                <w:szCs w:val="32"/>
                <w:vertAlign w:val="baseline"/>
                <w:lang w:val="en-US" w:eastAsia="zh-CN"/>
              </w:rPr>
            </w:pPr>
          </w:p>
          <w:p w14:paraId="5C5DCAD5">
            <w:pPr>
              <w:pStyle w:val="5"/>
              <w:bidi w:val="0"/>
              <w:jc w:val="center"/>
              <w:rPr>
                <w:rFonts w:hint="eastAsia" w:ascii="仿宋_GB2312" w:hAnsi="仿宋_GB2312" w:eastAsia="仿宋_GB2312" w:cs="仿宋_GB2312"/>
                <w:sz w:val="32"/>
                <w:szCs w:val="32"/>
                <w:vertAlign w:val="baseline"/>
                <w:lang w:val="en-US" w:eastAsia="zh-CN"/>
              </w:rPr>
            </w:pPr>
          </w:p>
          <w:p w14:paraId="7B36A2D1">
            <w:pPr>
              <w:pStyle w:val="5"/>
              <w:bidi w:val="0"/>
              <w:jc w:val="center"/>
              <w:rPr>
                <w:rFonts w:hint="eastAsia" w:ascii="仿宋_GB2312" w:hAnsi="仿宋_GB2312" w:eastAsia="仿宋_GB2312" w:cs="仿宋_GB2312"/>
                <w:sz w:val="32"/>
                <w:szCs w:val="32"/>
                <w:vertAlign w:val="baseline"/>
                <w:lang w:val="en-US" w:eastAsia="zh-CN"/>
              </w:rPr>
            </w:pPr>
          </w:p>
          <w:p w14:paraId="13A6F225">
            <w:pPr>
              <w:pStyle w:val="5"/>
              <w:bidi w:val="0"/>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5分</w:t>
            </w:r>
          </w:p>
        </w:tc>
        <w:tc>
          <w:tcPr>
            <w:tcW w:w="4531" w:type="dxa"/>
            <w:noWrap w:val="0"/>
            <w:vAlign w:val="center"/>
          </w:tcPr>
          <w:p w14:paraId="2FDC886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 xml:space="preserve">能快速完成检测流程，单个样本检测时间短，极大提高检测效率，得4 - 5分；检测速度一般，不影响日常工作节奏，得2 - 3分；检测速度较慢，影响工作效率，得1 分 </w:t>
            </w:r>
          </w:p>
        </w:tc>
      </w:tr>
      <w:tr w14:paraId="7A3CE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noWrap w:val="0"/>
            <w:vAlign w:val="center"/>
          </w:tcPr>
          <w:p w14:paraId="7FCF6FD8">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稳定性</w:t>
            </w:r>
          </w:p>
        </w:tc>
        <w:tc>
          <w:tcPr>
            <w:tcW w:w="2265" w:type="dxa"/>
            <w:noWrap w:val="0"/>
            <w:vAlign w:val="top"/>
          </w:tcPr>
          <w:p w14:paraId="2696A215">
            <w:pPr>
              <w:pStyle w:val="5"/>
              <w:bidi w:val="0"/>
              <w:jc w:val="center"/>
              <w:rPr>
                <w:rFonts w:hint="eastAsia" w:ascii="仿宋_GB2312" w:hAnsi="仿宋_GB2312" w:eastAsia="仿宋_GB2312" w:cs="仿宋_GB2312"/>
                <w:sz w:val="32"/>
                <w:szCs w:val="32"/>
                <w:vertAlign w:val="baseline"/>
                <w:lang w:val="en-US" w:eastAsia="zh-CN"/>
              </w:rPr>
            </w:pPr>
          </w:p>
          <w:p w14:paraId="377DCC7F">
            <w:pPr>
              <w:pStyle w:val="5"/>
              <w:bidi w:val="0"/>
              <w:jc w:val="center"/>
              <w:rPr>
                <w:rFonts w:hint="eastAsia" w:ascii="仿宋_GB2312" w:hAnsi="仿宋_GB2312" w:eastAsia="仿宋_GB2312" w:cs="仿宋_GB2312"/>
                <w:sz w:val="32"/>
                <w:szCs w:val="32"/>
                <w:vertAlign w:val="baseline"/>
                <w:lang w:val="en-US" w:eastAsia="zh-CN"/>
              </w:rPr>
            </w:pPr>
          </w:p>
          <w:p w14:paraId="3D0B9EC8">
            <w:pPr>
              <w:pStyle w:val="5"/>
              <w:bidi w:val="0"/>
              <w:jc w:val="center"/>
              <w:rPr>
                <w:rFonts w:hint="eastAsia" w:ascii="仿宋_GB2312" w:hAnsi="仿宋_GB2312" w:eastAsia="仿宋_GB2312" w:cs="仿宋_GB2312"/>
                <w:sz w:val="32"/>
                <w:szCs w:val="32"/>
                <w:vertAlign w:val="baseline"/>
                <w:lang w:val="en-US" w:eastAsia="zh-CN"/>
              </w:rPr>
            </w:pPr>
          </w:p>
          <w:p w14:paraId="4A5FABB2">
            <w:pPr>
              <w:pStyle w:val="5"/>
              <w:bidi w:val="0"/>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5分</w:t>
            </w:r>
          </w:p>
        </w:tc>
        <w:tc>
          <w:tcPr>
            <w:tcW w:w="4531" w:type="dxa"/>
            <w:noWrap w:val="0"/>
            <w:vAlign w:val="center"/>
          </w:tcPr>
          <w:p w14:paraId="58A9A4E5">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 xml:space="preserve">设备运行稳定，长时间使用无明显数据漂移，有良好的抗干扰能力，得4 - 5分；运行基本稳定，偶有轻微波动，得2- 3分；稳定性差，数据波动大，得1 分 </w:t>
            </w:r>
          </w:p>
        </w:tc>
      </w:tr>
      <w:tr w14:paraId="69A88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noWrap w:val="0"/>
            <w:vAlign w:val="center"/>
          </w:tcPr>
          <w:p w14:paraId="451D5DF3">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操作便捷性</w:t>
            </w:r>
          </w:p>
        </w:tc>
        <w:tc>
          <w:tcPr>
            <w:tcW w:w="2265" w:type="dxa"/>
            <w:noWrap w:val="0"/>
            <w:vAlign w:val="top"/>
          </w:tcPr>
          <w:p w14:paraId="79159D13">
            <w:pPr>
              <w:pStyle w:val="5"/>
              <w:bidi w:val="0"/>
              <w:jc w:val="center"/>
              <w:rPr>
                <w:rFonts w:hint="eastAsia" w:ascii="仿宋_GB2312" w:hAnsi="仿宋_GB2312" w:eastAsia="仿宋_GB2312" w:cs="仿宋_GB2312"/>
                <w:sz w:val="32"/>
                <w:szCs w:val="32"/>
                <w:vertAlign w:val="baseline"/>
                <w:lang w:val="en-US" w:eastAsia="zh-CN"/>
              </w:rPr>
            </w:pPr>
          </w:p>
          <w:p w14:paraId="4B11CE6D">
            <w:pPr>
              <w:pStyle w:val="5"/>
              <w:bidi w:val="0"/>
              <w:jc w:val="center"/>
              <w:rPr>
                <w:rFonts w:hint="eastAsia" w:ascii="仿宋_GB2312" w:hAnsi="仿宋_GB2312" w:eastAsia="仿宋_GB2312" w:cs="仿宋_GB2312"/>
                <w:sz w:val="32"/>
                <w:szCs w:val="32"/>
                <w:vertAlign w:val="baseline"/>
                <w:lang w:val="en-US" w:eastAsia="zh-CN"/>
              </w:rPr>
            </w:pPr>
          </w:p>
          <w:p w14:paraId="294B7797">
            <w:pPr>
              <w:pStyle w:val="5"/>
              <w:bidi w:val="0"/>
              <w:jc w:val="center"/>
              <w:rPr>
                <w:rFonts w:hint="eastAsia" w:ascii="仿宋_GB2312" w:hAnsi="仿宋_GB2312" w:eastAsia="仿宋_GB2312" w:cs="仿宋_GB2312"/>
                <w:sz w:val="32"/>
                <w:szCs w:val="32"/>
                <w:vertAlign w:val="baseline"/>
                <w:lang w:val="en-US" w:eastAsia="zh-CN"/>
              </w:rPr>
            </w:pPr>
          </w:p>
          <w:p w14:paraId="620E9994">
            <w:pPr>
              <w:pStyle w:val="5"/>
              <w:bidi w:val="0"/>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5分</w:t>
            </w:r>
          </w:p>
        </w:tc>
        <w:tc>
          <w:tcPr>
            <w:tcW w:w="4531" w:type="dxa"/>
            <w:noWrap w:val="0"/>
            <w:vAlign w:val="center"/>
          </w:tcPr>
          <w:p w14:paraId="75753E6A">
            <w:pPr>
              <w:keepNext w:val="0"/>
              <w:keepLines w:val="0"/>
              <w:widowControl/>
              <w:suppressLineNumbers w:val="0"/>
              <w:jc w:val="left"/>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 xml:space="preserve">操作界面简洁直观，操作步骤简单易懂，无需复杂培训即可上手，得4 - 5分；操作基本方便，需一定培训，得2 - 3分；操作复杂，界面不友好，得1分 </w:t>
            </w:r>
          </w:p>
        </w:tc>
      </w:tr>
      <w:tr w14:paraId="77B24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9061" w:type="dxa"/>
            <w:gridSpan w:val="3"/>
            <w:noWrap w:val="0"/>
            <w:vAlign w:val="center"/>
          </w:tcPr>
          <w:p w14:paraId="7E3B15D7">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黑体" w:hAnsi="黑体" w:eastAsia="黑体" w:cs="黑体"/>
                <w:i w:val="0"/>
                <w:color w:val="000000"/>
                <w:kern w:val="0"/>
                <w:sz w:val="32"/>
                <w:szCs w:val="32"/>
                <w:u w:val="none"/>
                <w:lang w:val="en-US" w:eastAsia="zh-CN" w:bidi="ar"/>
              </w:rPr>
              <w:t>二、耗材部分（25分）</w:t>
            </w:r>
          </w:p>
        </w:tc>
      </w:tr>
      <w:tr w14:paraId="37EE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2265" w:type="dxa"/>
            <w:noWrap w:val="0"/>
            <w:vAlign w:val="center"/>
          </w:tcPr>
          <w:p w14:paraId="0AA222FC">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评分项目</w:t>
            </w:r>
          </w:p>
        </w:tc>
        <w:tc>
          <w:tcPr>
            <w:tcW w:w="2265" w:type="dxa"/>
            <w:noWrap w:val="0"/>
            <w:vAlign w:val="center"/>
          </w:tcPr>
          <w:p w14:paraId="6D179605">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分值</w:t>
            </w:r>
          </w:p>
        </w:tc>
        <w:tc>
          <w:tcPr>
            <w:tcW w:w="4531" w:type="dxa"/>
            <w:noWrap w:val="0"/>
            <w:vAlign w:val="center"/>
          </w:tcPr>
          <w:p w14:paraId="22560A33">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评分标准</w:t>
            </w:r>
          </w:p>
        </w:tc>
      </w:tr>
      <w:tr w14:paraId="1BF4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noWrap w:val="0"/>
            <w:vAlign w:val="center"/>
          </w:tcPr>
          <w:p w14:paraId="0B01BBDF">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耗材供应稳定性</w:t>
            </w:r>
          </w:p>
        </w:tc>
        <w:tc>
          <w:tcPr>
            <w:tcW w:w="2265" w:type="dxa"/>
            <w:noWrap w:val="0"/>
            <w:vAlign w:val="center"/>
          </w:tcPr>
          <w:p w14:paraId="0912FF91">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10分</w:t>
            </w:r>
          </w:p>
        </w:tc>
        <w:tc>
          <w:tcPr>
            <w:tcW w:w="4531" w:type="dxa"/>
            <w:noWrap w:val="0"/>
            <w:vAlign w:val="center"/>
          </w:tcPr>
          <w:p w14:paraId="4B3A8F73">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供应商承诺的耗材供应周期短，能保证及时供货，且提供可靠的供应保障措施（如库存证明、合作物流优势等），得8 - 10分；供应周期较长但能满足基本需求，有一定保障措施，得4 - 7分；供应保障差，可能出现断货风险，得1 - 3分</w:t>
            </w:r>
          </w:p>
        </w:tc>
      </w:tr>
      <w:tr w14:paraId="05016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4" w:hRule="atLeast"/>
        </w:trPr>
        <w:tc>
          <w:tcPr>
            <w:tcW w:w="2265" w:type="dxa"/>
            <w:noWrap w:val="0"/>
            <w:vAlign w:val="center"/>
          </w:tcPr>
          <w:p w14:paraId="6ECB4531">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耗材质量</w:t>
            </w:r>
          </w:p>
        </w:tc>
        <w:tc>
          <w:tcPr>
            <w:tcW w:w="2265" w:type="dxa"/>
            <w:noWrap w:val="0"/>
            <w:vAlign w:val="center"/>
          </w:tcPr>
          <w:p w14:paraId="0D60EA3D">
            <w:pPr>
              <w:keepNext w:val="0"/>
              <w:keepLines w:val="0"/>
              <w:widowControl/>
              <w:suppressLineNumbers w:val="0"/>
              <w:jc w:val="center"/>
              <w:textAlignment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i w:val="0"/>
                <w:color w:val="000000"/>
                <w:kern w:val="0"/>
                <w:sz w:val="32"/>
                <w:szCs w:val="32"/>
                <w:u w:val="none"/>
                <w:lang w:val="en-US" w:eastAsia="zh-CN" w:bidi="ar"/>
              </w:rPr>
              <w:t>15分</w:t>
            </w:r>
          </w:p>
        </w:tc>
        <w:tc>
          <w:tcPr>
            <w:tcW w:w="4531" w:type="dxa"/>
            <w:noWrap w:val="0"/>
            <w:vAlign w:val="center"/>
          </w:tcPr>
          <w:p w14:paraId="43957495">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 xml:space="preserve">提供耗材质量认证文件及相关检测报告，证明耗材质量高，稳定性好，得12 - 15分；质量一般，有基本质量保证材料，得7 - 11分；质量证明材料不足，得1 - 6分 </w:t>
            </w:r>
          </w:p>
        </w:tc>
      </w:tr>
      <w:tr w14:paraId="78BA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trPr>
        <w:tc>
          <w:tcPr>
            <w:tcW w:w="9061" w:type="dxa"/>
            <w:gridSpan w:val="3"/>
            <w:noWrap w:val="0"/>
            <w:vAlign w:val="center"/>
          </w:tcPr>
          <w:p w14:paraId="4EE7C6F0">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黑体" w:hAnsi="黑体" w:eastAsia="黑体" w:cs="黑体"/>
                <w:i w:val="0"/>
                <w:color w:val="000000"/>
                <w:kern w:val="0"/>
                <w:sz w:val="32"/>
                <w:szCs w:val="32"/>
                <w:u w:val="none"/>
                <w:lang w:val="en-US" w:eastAsia="zh-CN" w:bidi="ar"/>
              </w:rPr>
              <w:t>三、商务部分（20分）</w:t>
            </w:r>
          </w:p>
        </w:tc>
      </w:tr>
      <w:tr w14:paraId="3BC8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2265" w:type="dxa"/>
            <w:noWrap w:val="0"/>
            <w:vAlign w:val="center"/>
          </w:tcPr>
          <w:p w14:paraId="58110A48">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评分项目</w:t>
            </w:r>
          </w:p>
        </w:tc>
        <w:tc>
          <w:tcPr>
            <w:tcW w:w="2265" w:type="dxa"/>
            <w:noWrap w:val="0"/>
            <w:vAlign w:val="center"/>
          </w:tcPr>
          <w:p w14:paraId="5DA8F298">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分值</w:t>
            </w:r>
          </w:p>
        </w:tc>
        <w:tc>
          <w:tcPr>
            <w:tcW w:w="4531" w:type="dxa"/>
            <w:noWrap w:val="0"/>
            <w:vAlign w:val="center"/>
          </w:tcPr>
          <w:p w14:paraId="0DB28166">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评分标准</w:t>
            </w:r>
          </w:p>
        </w:tc>
      </w:tr>
      <w:tr w14:paraId="090A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3" w:hRule="atLeast"/>
        </w:trPr>
        <w:tc>
          <w:tcPr>
            <w:tcW w:w="2265" w:type="dxa"/>
            <w:noWrap w:val="0"/>
            <w:vAlign w:val="center"/>
          </w:tcPr>
          <w:p w14:paraId="06D11ED9">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类似项目业绩</w:t>
            </w:r>
          </w:p>
        </w:tc>
        <w:tc>
          <w:tcPr>
            <w:tcW w:w="2265" w:type="dxa"/>
            <w:noWrap w:val="0"/>
            <w:vAlign w:val="center"/>
          </w:tcPr>
          <w:p w14:paraId="7308AC79">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10分</w:t>
            </w:r>
          </w:p>
        </w:tc>
        <w:tc>
          <w:tcPr>
            <w:tcW w:w="4531" w:type="dxa"/>
            <w:noWrap w:val="0"/>
            <w:vAlign w:val="center"/>
          </w:tcPr>
          <w:p w14:paraId="2B05BFB2">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 xml:space="preserve">提供近3年类似13C呼气分析仪设备销售业绩合同，每提供一份得2 - 3分，最多得10分 </w:t>
            </w:r>
          </w:p>
        </w:tc>
      </w:tr>
      <w:tr w14:paraId="256F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noWrap w:val="0"/>
            <w:vAlign w:val="center"/>
          </w:tcPr>
          <w:p w14:paraId="4830872F">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售后服务</w:t>
            </w:r>
          </w:p>
        </w:tc>
        <w:tc>
          <w:tcPr>
            <w:tcW w:w="2265" w:type="dxa"/>
            <w:noWrap w:val="0"/>
            <w:vAlign w:val="center"/>
          </w:tcPr>
          <w:p w14:paraId="1C239B0C">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6分</w:t>
            </w:r>
          </w:p>
        </w:tc>
        <w:tc>
          <w:tcPr>
            <w:tcW w:w="4531" w:type="dxa"/>
            <w:noWrap w:val="0"/>
            <w:vAlign w:val="center"/>
          </w:tcPr>
          <w:p w14:paraId="0C8DDFBF">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响应时间短（24小时内响应并提供解决方案）、</w:t>
            </w:r>
            <w:r>
              <w:rPr>
                <w:rFonts w:hint="eastAsia" w:ascii="仿宋_GB2312" w:hAnsi="仿宋_GB2312" w:eastAsia="仿宋_GB2312" w:cs="仿宋_GB2312"/>
                <w:i w:val="0"/>
                <w:color w:val="auto"/>
                <w:kern w:val="0"/>
                <w:sz w:val="32"/>
                <w:szCs w:val="32"/>
                <w:u w:val="none"/>
                <w:lang w:val="en-US" w:eastAsia="zh-CN" w:bidi="ar"/>
              </w:rPr>
              <w:t>质保期</w:t>
            </w:r>
            <w:r>
              <w:rPr>
                <w:rFonts w:hint="eastAsia" w:ascii="仿宋_GB2312" w:hAnsi="仿宋_GB2312" w:eastAsia="仿宋_GB2312" w:cs="仿宋_GB2312"/>
                <w:i w:val="0"/>
                <w:color w:val="000000"/>
                <w:kern w:val="0"/>
                <w:sz w:val="32"/>
                <w:szCs w:val="32"/>
                <w:u w:val="none"/>
                <w:lang w:val="en-US" w:eastAsia="zh-CN" w:bidi="ar"/>
              </w:rPr>
              <w:t xml:space="preserve">、售后服务完善，得5 - 6分；响应时间、质保期和服务网络一般，得3 - 4分；较差得1 - 2分 </w:t>
            </w:r>
          </w:p>
        </w:tc>
      </w:tr>
      <w:tr w14:paraId="3D9B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8" w:hRule="atLeast"/>
        </w:trPr>
        <w:tc>
          <w:tcPr>
            <w:tcW w:w="2265" w:type="dxa"/>
            <w:noWrap w:val="0"/>
            <w:vAlign w:val="center"/>
          </w:tcPr>
          <w:p w14:paraId="792367A3">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企业信誉</w:t>
            </w:r>
          </w:p>
        </w:tc>
        <w:tc>
          <w:tcPr>
            <w:tcW w:w="2265" w:type="dxa"/>
            <w:noWrap w:val="0"/>
            <w:vAlign w:val="center"/>
          </w:tcPr>
          <w:p w14:paraId="5287BBA1">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4分</w:t>
            </w:r>
          </w:p>
        </w:tc>
        <w:tc>
          <w:tcPr>
            <w:tcW w:w="4531" w:type="dxa"/>
            <w:noWrap w:val="0"/>
            <w:vAlign w:val="center"/>
          </w:tcPr>
          <w:p w14:paraId="250F8604">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 xml:space="preserve">提供企业信誉相关证明，如重合同守信用证书、无违法违规记录证明等，信誉良好得3 - 4分；一般得1 - 2分 </w:t>
            </w:r>
          </w:p>
        </w:tc>
      </w:tr>
      <w:tr w14:paraId="248F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9061" w:type="dxa"/>
            <w:gridSpan w:val="3"/>
            <w:noWrap w:val="0"/>
            <w:vAlign w:val="center"/>
          </w:tcPr>
          <w:p w14:paraId="615262BA">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黑体" w:hAnsi="黑体" w:eastAsia="黑体" w:cs="黑体"/>
                <w:i w:val="0"/>
                <w:color w:val="000000"/>
                <w:kern w:val="0"/>
                <w:sz w:val="32"/>
                <w:szCs w:val="32"/>
                <w:u w:val="none"/>
                <w:lang w:val="en-US" w:eastAsia="zh-CN" w:bidi="ar"/>
              </w:rPr>
              <w:t>四、投标报价（30分）</w:t>
            </w:r>
          </w:p>
        </w:tc>
      </w:tr>
      <w:tr w14:paraId="06FEB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trPr>
        <w:tc>
          <w:tcPr>
            <w:tcW w:w="2265" w:type="dxa"/>
            <w:noWrap w:val="0"/>
            <w:vAlign w:val="center"/>
          </w:tcPr>
          <w:p w14:paraId="2D221A41">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评分项目</w:t>
            </w:r>
          </w:p>
        </w:tc>
        <w:tc>
          <w:tcPr>
            <w:tcW w:w="2265" w:type="dxa"/>
            <w:noWrap w:val="0"/>
            <w:vAlign w:val="center"/>
          </w:tcPr>
          <w:p w14:paraId="649FB1D0">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分值</w:t>
            </w:r>
          </w:p>
        </w:tc>
        <w:tc>
          <w:tcPr>
            <w:tcW w:w="4531" w:type="dxa"/>
            <w:noWrap w:val="0"/>
            <w:vAlign w:val="center"/>
          </w:tcPr>
          <w:p w14:paraId="23A2F639">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评分标准</w:t>
            </w:r>
          </w:p>
        </w:tc>
      </w:tr>
      <w:tr w14:paraId="46FE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noWrap w:val="0"/>
            <w:vAlign w:val="center"/>
          </w:tcPr>
          <w:p w14:paraId="26A91E5A">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设备报价</w:t>
            </w:r>
          </w:p>
        </w:tc>
        <w:tc>
          <w:tcPr>
            <w:tcW w:w="2265" w:type="dxa"/>
            <w:noWrap w:val="0"/>
            <w:vAlign w:val="center"/>
          </w:tcPr>
          <w:p w14:paraId="46327C1E">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15分</w:t>
            </w:r>
          </w:p>
        </w:tc>
        <w:tc>
          <w:tcPr>
            <w:tcW w:w="4531" w:type="dxa"/>
            <w:noWrap w:val="0"/>
            <w:vAlign w:val="center"/>
          </w:tcPr>
          <w:p w14:paraId="78C411D5">
            <w:pPr>
              <w:keepNext w:val="0"/>
              <w:keepLines w:val="0"/>
              <w:widowControl/>
              <w:suppressLineNumbers w:val="0"/>
              <w:jc w:val="left"/>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满足院内竞争性谈判文件要求且价格最低的供应商报价为评标基准价，其价格分为满分。其他供应商的价格分统一按照公式计算：</w:t>
            </w:r>
            <w:bookmarkStart w:id="0" w:name="OLE_LINK7"/>
            <w:r>
              <w:rPr>
                <w:rFonts w:hint="eastAsia" w:ascii="仿宋_GB2312" w:hAnsi="仿宋_GB2312" w:eastAsia="仿宋_GB2312" w:cs="仿宋_GB2312"/>
                <w:color w:val="auto"/>
                <w:sz w:val="32"/>
                <w:szCs w:val="32"/>
                <w:lang w:eastAsia="zh-CN"/>
              </w:rPr>
              <w:t>院内竞争性谈判</w:t>
            </w:r>
            <w:r>
              <w:rPr>
                <w:rFonts w:hint="eastAsia" w:ascii="仿宋_GB2312" w:hAnsi="仿宋_GB2312" w:eastAsia="仿宋_GB2312" w:cs="仿宋_GB2312"/>
                <w:color w:val="auto"/>
                <w:sz w:val="32"/>
                <w:szCs w:val="32"/>
              </w:rPr>
              <w:t>报价得分=（</w:t>
            </w:r>
            <w:r>
              <w:rPr>
                <w:rFonts w:hint="eastAsia" w:ascii="仿宋_GB2312" w:hAnsi="仿宋_GB2312" w:eastAsia="仿宋_GB2312" w:cs="仿宋_GB2312"/>
                <w:color w:val="auto"/>
                <w:sz w:val="32"/>
                <w:szCs w:val="32"/>
                <w:lang w:eastAsia="zh-CN"/>
              </w:rPr>
              <w:t>院内竞争性谈判</w:t>
            </w:r>
            <w:r>
              <w:rPr>
                <w:rFonts w:hint="eastAsia" w:ascii="仿宋_GB2312" w:hAnsi="仿宋_GB2312" w:eastAsia="仿宋_GB2312" w:cs="仿宋_GB2312"/>
                <w:color w:val="auto"/>
                <w:sz w:val="32"/>
                <w:szCs w:val="32"/>
              </w:rPr>
              <w:t>基准价/最后</w:t>
            </w:r>
            <w:r>
              <w:rPr>
                <w:rFonts w:hint="eastAsia" w:ascii="仿宋_GB2312" w:hAnsi="仿宋_GB2312" w:eastAsia="仿宋_GB2312" w:cs="仿宋_GB2312"/>
                <w:color w:val="auto"/>
                <w:sz w:val="32"/>
                <w:szCs w:val="32"/>
                <w:lang w:eastAsia="zh-CN"/>
              </w:rPr>
              <w:t>院内竞争性谈判</w:t>
            </w:r>
            <w:r>
              <w:rPr>
                <w:rFonts w:hint="eastAsia" w:ascii="仿宋_GB2312" w:hAnsi="仿宋_GB2312" w:eastAsia="仿宋_GB2312" w:cs="仿宋_GB2312"/>
                <w:color w:val="auto"/>
                <w:sz w:val="32"/>
                <w:szCs w:val="32"/>
              </w:rPr>
              <w:t>报价）×</w:t>
            </w:r>
            <w:bookmarkEnd w:id="0"/>
            <w:r>
              <w:rPr>
                <w:rFonts w:hint="eastAsia" w:ascii="仿宋_GB2312" w:hAnsi="仿宋_GB2312" w:eastAsia="仿宋_GB2312" w:cs="仿宋_GB2312"/>
                <w:color w:val="auto"/>
                <w:sz w:val="32"/>
                <w:szCs w:val="32"/>
                <w:lang w:val="en-US" w:eastAsia="zh-CN"/>
              </w:rPr>
              <w:t>15</w:t>
            </w:r>
          </w:p>
        </w:tc>
      </w:tr>
      <w:tr w14:paraId="2856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noWrap w:val="0"/>
            <w:vAlign w:val="center"/>
          </w:tcPr>
          <w:p w14:paraId="20F9E9B3">
            <w:pPr>
              <w:keepNext w:val="0"/>
              <w:keepLines w:val="0"/>
              <w:widowControl/>
              <w:suppressLineNumbers w:val="0"/>
              <w:jc w:val="left"/>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color w:val="auto"/>
                <w:kern w:val="0"/>
                <w:sz w:val="32"/>
                <w:szCs w:val="32"/>
                <w:highlight w:val="none"/>
                <w:lang w:val="en-US" w:eastAsia="zh-CN" w:bidi="ar-SA"/>
              </w:rPr>
              <w:t>尿素[13C]散剂呼气试验药盒</w:t>
            </w:r>
            <w:r>
              <w:rPr>
                <w:rFonts w:hint="eastAsia" w:ascii="仿宋_GB2312" w:hAnsi="仿宋_GB2312" w:eastAsia="仿宋_GB2312" w:cs="仿宋_GB2312"/>
                <w:i w:val="0"/>
                <w:color w:val="000000"/>
                <w:kern w:val="0"/>
                <w:sz w:val="32"/>
                <w:szCs w:val="32"/>
                <w:u w:val="none"/>
                <w:lang w:val="en-US" w:eastAsia="zh-CN" w:bidi="ar"/>
              </w:rPr>
              <w:t>报价</w:t>
            </w:r>
          </w:p>
        </w:tc>
        <w:tc>
          <w:tcPr>
            <w:tcW w:w="2265" w:type="dxa"/>
            <w:noWrap w:val="0"/>
            <w:vAlign w:val="center"/>
          </w:tcPr>
          <w:p w14:paraId="3FE4A9AC">
            <w:pPr>
              <w:keepNext w:val="0"/>
              <w:keepLines w:val="0"/>
              <w:widowControl/>
              <w:suppressLineNumbers w:val="0"/>
              <w:jc w:val="center"/>
              <w:textAlignment w:val="center"/>
              <w:rPr>
                <w:rFonts w:hint="eastAsia"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15分</w:t>
            </w:r>
          </w:p>
        </w:tc>
        <w:tc>
          <w:tcPr>
            <w:tcW w:w="4531" w:type="dxa"/>
            <w:noWrap w:val="0"/>
            <w:vAlign w:val="center"/>
          </w:tcPr>
          <w:p w14:paraId="60ADBC73">
            <w:pPr>
              <w:keepNext w:val="0"/>
              <w:keepLines w:val="0"/>
              <w:widowControl/>
              <w:suppressLineNumbers w:val="0"/>
              <w:jc w:val="left"/>
              <w:textAlignment w:val="center"/>
              <w:rPr>
                <w:rFonts w:hint="default" w:ascii="仿宋_GB2312" w:hAnsi="仿宋_GB2312" w:eastAsia="仿宋_GB2312" w:cs="仿宋_GB2312"/>
                <w:i w:val="0"/>
                <w:color w:val="000000"/>
                <w:kern w:val="0"/>
                <w:sz w:val="32"/>
                <w:szCs w:val="32"/>
                <w:u w:val="none"/>
                <w:lang w:val="en-US" w:eastAsia="zh-CN" w:bidi="ar"/>
              </w:rPr>
            </w:pPr>
            <w:r>
              <w:rPr>
                <w:rFonts w:hint="eastAsia" w:ascii="仿宋_GB2312" w:hAnsi="仿宋_GB2312" w:eastAsia="仿宋_GB2312" w:cs="仿宋_GB2312"/>
                <w:i w:val="0"/>
                <w:color w:val="000000"/>
                <w:kern w:val="0"/>
                <w:sz w:val="32"/>
                <w:szCs w:val="32"/>
                <w:u w:val="none"/>
                <w:lang w:val="en-US" w:eastAsia="zh-CN" w:bidi="ar"/>
              </w:rPr>
              <w:t>满足院内竞争性谈判文件要求且价格最低的供应商报价为评标基准价，其价格分为满分。其他供应商的价格分统一按照公式计算</w:t>
            </w:r>
            <w:r>
              <w:rPr>
                <w:rFonts w:hint="eastAsia" w:ascii="仿宋_GB2312" w:hAnsi="仿宋_GB2312" w:eastAsia="仿宋_GB2312" w:cs="仿宋_GB2312"/>
                <w:i w:val="0"/>
                <w:color w:val="auto"/>
                <w:kern w:val="0"/>
                <w:sz w:val="32"/>
                <w:szCs w:val="32"/>
                <w:u w:val="none"/>
                <w:lang w:val="en-US" w:eastAsia="zh-CN" w:bidi="ar"/>
              </w:rPr>
              <w:t>：</w:t>
            </w:r>
            <w:r>
              <w:rPr>
                <w:rFonts w:hint="eastAsia" w:ascii="仿宋_GB2312" w:hAnsi="仿宋_GB2312" w:eastAsia="仿宋_GB2312" w:cs="仿宋_GB2312"/>
                <w:color w:val="auto"/>
                <w:sz w:val="32"/>
                <w:szCs w:val="32"/>
                <w:lang w:eastAsia="zh-CN"/>
              </w:rPr>
              <w:t>院内竞争性谈判</w:t>
            </w:r>
            <w:r>
              <w:rPr>
                <w:rFonts w:hint="eastAsia" w:ascii="仿宋_GB2312" w:hAnsi="仿宋_GB2312" w:eastAsia="仿宋_GB2312" w:cs="仿宋_GB2312"/>
                <w:color w:val="auto"/>
                <w:sz w:val="32"/>
                <w:szCs w:val="32"/>
              </w:rPr>
              <w:t>报价得分=（</w:t>
            </w:r>
            <w:r>
              <w:rPr>
                <w:rFonts w:hint="eastAsia" w:ascii="仿宋_GB2312" w:hAnsi="仿宋_GB2312" w:eastAsia="仿宋_GB2312" w:cs="仿宋_GB2312"/>
                <w:color w:val="auto"/>
                <w:sz w:val="32"/>
                <w:szCs w:val="32"/>
                <w:lang w:eastAsia="zh-CN"/>
              </w:rPr>
              <w:t>院内竞争性谈判</w:t>
            </w:r>
            <w:r>
              <w:rPr>
                <w:rFonts w:hint="eastAsia" w:ascii="仿宋_GB2312" w:hAnsi="仿宋_GB2312" w:eastAsia="仿宋_GB2312" w:cs="仿宋_GB2312"/>
                <w:color w:val="auto"/>
                <w:sz w:val="32"/>
                <w:szCs w:val="32"/>
              </w:rPr>
              <w:t>基准价/最后</w:t>
            </w:r>
            <w:r>
              <w:rPr>
                <w:rFonts w:hint="eastAsia" w:ascii="仿宋_GB2312" w:hAnsi="仿宋_GB2312" w:eastAsia="仿宋_GB2312" w:cs="仿宋_GB2312"/>
                <w:color w:val="auto"/>
                <w:sz w:val="32"/>
                <w:szCs w:val="32"/>
                <w:lang w:eastAsia="zh-CN"/>
              </w:rPr>
              <w:t>院内竞争性谈判</w:t>
            </w:r>
            <w:r>
              <w:rPr>
                <w:rFonts w:hint="eastAsia" w:ascii="仿宋_GB2312" w:hAnsi="仿宋_GB2312" w:eastAsia="仿宋_GB2312" w:cs="仿宋_GB2312"/>
                <w:color w:val="auto"/>
                <w:sz w:val="32"/>
                <w:szCs w:val="32"/>
              </w:rPr>
              <w:t>报价）×</w:t>
            </w:r>
            <w:r>
              <w:rPr>
                <w:rFonts w:hint="eastAsia" w:ascii="仿宋_GB2312" w:hAnsi="仿宋_GB2312" w:eastAsia="仿宋_GB2312" w:cs="仿宋_GB2312"/>
                <w:color w:val="auto"/>
                <w:sz w:val="32"/>
                <w:szCs w:val="32"/>
                <w:lang w:val="en-US" w:eastAsia="zh-CN"/>
              </w:rPr>
              <w:t>15</w:t>
            </w:r>
          </w:p>
        </w:tc>
      </w:tr>
    </w:tbl>
    <w:p w14:paraId="677F287F">
      <w:pPr>
        <w:pStyle w:val="5"/>
        <w:bidi w:val="0"/>
        <w:rPr>
          <w:rFonts w:hint="eastAsia" w:ascii="黑体" w:hAnsi="黑体" w:eastAsia="黑体" w:cs="黑体"/>
          <w:sz w:val="32"/>
          <w:szCs w:val="32"/>
          <w:lang w:val="en-US" w:eastAsia="zh-CN"/>
        </w:rPr>
      </w:pPr>
    </w:p>
    <w:p w14:paraId="0DB57202"/>
    <w:sectPr>
      <w:pgSz w:w="11906" w:h="16838"/>
      <w:pgMar w:top="2098" w:right="1474" w:bottom="1928" w:left="1587" w:header="851" w:footer="1531" w:gutter="0"/>
      <w:lnNumType w:countBy="0" w:restart="continuou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DD0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6">
    <w:name w:val="标题 11"/>
    <w:basedOn w:val="1"/>
    <w:next w:val="1"/>
    <w:qFormat/>
    <w:uiPriority w:val="0"/>
    <w:pPr>
      <w:keepNext/>
      <w:keepLines/>
      <w:spacing w:before="340" w:after="330" w:line="578" w:lineRule="auto"/>
      <w:outlineLvl w:val="0"/>
    </w:pPr>
    <w:rPr>
      <w:b/>
      <w:bCs/>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2025-03-24T09:05:52Z</dcterms:created>
  <dc:creator>Administrator</dc:creator>
  <cp:lastModifiedBy>悠幽</cp:lastModifiedBy>
  <dcterms:modified xsi:type="dcterms:W3CDTF">2025-03-24T09:05:59Z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eyJoZGlkIjoiYTRjYmM1NTUzYWJlZjFkNTQ5ZTkwZDA0YjFmMzA1NmIiLCJ1c2VySWQiOiIzOTUwMzA5MzAifQ==</vt:lpwstr>
  </property>
  <property fmtid="{D5CDD505-2E9C-101B-9397-08002B2CF9AE}" pid="4" name="ICV">
    <vt:lpwstr>6AB11D9F83EF4EF6B816D05C6A8C2FE0_12</vt:lpwstr>
  </property>
</Properties>
</file>